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B98" w:rsidRPr="00FC0871" w:rsidRDefault="00721B98">
      <w:pPr>
        <w:pStyle w:val="Paper-Title"/>
      </w:pPr>
      <w:bookmarkStart w:id="0" w:name="_GoBack"/>
      <w:bookmarkEnd w:id="0"/>
      <w:r w:rsidRPr="00FC0871">
        <w:t>T</w:t>
      </w:r>
      <w:bookmarkStart w:id="1" w:name="_Ref514083383"/>
      <w:bookmarkEnd w:id="1"/>
      <w:r w:rsidRPr="00FC0871">
        <w:t>exture Mapping Progressive Meshes</w:t>
      </w:r>
    </w:p>
    <w:tbl>
      <w:tblPr>
        <w:tblW w:w="10080" w:type="dxa"/>
        <w:tblCellMar>
          <w:left w:w="0" w:type="dxa"/>
          <w:right w:w="0" w:type="dxa"/>
        </w:tblCellMar>
        <w:tblLook w:val="0000" w:firstRow="0" w:lastRow="0" w:firstColumn="0" w:lastColumn="0" w:noHBand="0" w:noVBand="0"/>
      </w:tblPr>
      <w:tblGrid>
        <w:gridCol w:w="2532"/>
        <w:gridCol w:w="2387"/>
        <w:gridCol w:w="2387"/>
        <w:gridCol w:w="2774"/>
      </w:tblGrid>
      <w:tr w:rsidR="00721B98" w:rsidRPr="00FC0871">
        <w:tc>
          <w:tcPr>
            <w:tcW w:w="2112" w:type="dxa"/>
          </w:tcPr>
          <w:p w:rsidR="00721B98" w:rsidRPr="00FC0871" w:rsidRDefault="00721B98">
            <w:pPr>
              <w:pStyle w:val="Paper-Title"/>
              <w:spacing w:after="60"/>
              <w:rPr>
                <w:b w:val="0"/>
                <w:bCs/>
                <w:sz w:val="24"/>
              </w:rPr>
            </w:pPr>
            <w:r w:rsidRPr="00FC0871">
              <w:rPr>
                <w:b w:val="0"/>
                <w:bCs/>
                <w:sz w:val="24"/>
              </w:rPr>
              <w:t>Pedro V. Sander</w:t>
            </w:r>
          </w:p>
        </w:tc>
        <w:tc>
          <w:tcPr>
            <w:tcW w:w="1992" w:type="dxa"/>
          </w:tcPr>
          <w:p w:rsidR="00721B98" w:rsidRPr="00FC0871" w:rsidRDefault="00721B98">
            <w:pPr>
              <w:pStyle w:val="Paper-Title"/>
              <w:spacing w:after="60"/>
              <w:rPr>
                <w:b w:val="0"/>
                <w:bCs/>
                <w:sz w:val="24"/>
              </w:rPr>
            </w:pPr>
            <w:smartTag w:uri="urn:schemas-microsoft-com:office:smarttags" w:element="PersonName">
              <w:r w:rsidRPr="00FC0871">
                <w:rPr>
                  <w:b w:val="0"/>
                  <w:bCs/>
                  <w:sz w:val="24"/>
                </w:rPr>
                <w:t>John Snyder</w:t>
              </w:r>
            </w:smartTag>
          </w:p>
        </w:tc>
        <w:tc>
          <w:tcPr>
            <w:tcW w:w="1992" w:type="dxa"/>
          </w:tcPr>
          <w:p w:rsidR="00721B98" w:rsidRPr="00FC0871" w:rsidRDefault="00721B98">
            <w:pPr>
              <w:pStyle w:val="Paper-Title"/>
              <w:spacing w:after="60"/>
              <w:rPr>
                <w:b w:val="0"/>
                <w:bCs/>
                <w:sz w:val="24"/>
              </w:rPr>
            </w:pPr>
            <w:r w:rsidRPr="00FC0871">
              <w:rPr>
                <w:b w:val="0"/>
                <w:bCs/>
                <w:sz w:val="24"/>
              </w:rPr>
              <w:t>Steven J. Gortler</w:t>
            </w:r>
          </w:p>
        </w:tc>
        <w:tc>
          <w:tcPr>
            <w:tcW w:w="1992" w:type="dxa"/>
          </w:tcPr>
          <w:p w:rsidR="00721B98" w:rsidRPr="00FC0871" w:rsidRDefault="00721B98">
            <w:pPr>
              <w:pStyle w:val="Paper-Title"/>
              <w:spacing w:after="60"/>
              <w:rPr>
                <w:b w:val="0"/>
                <w:bCs/>
                <w:sz w:val="24"/>
              </w:rPr>
            </w:pPr>
            <w:smartTag w:uri="urn:schemas-microsoft-com:office:smarttags" w:element="PersonName">
              <w:r w:rsidRPr="00FC0871">
                <w:rPr>
                  <w:b w:val="0"/>
                  <w:bCs/>
                  <w:sz w:val="24"/>
                </w:rPr>
                <w:t>Hugues Hoppe</w:t>
              </w:r>
            </w:smartTag>
          </w:p>
        </w:tc>
      </w:tr>
      <w:tr w:rsidR="00721B98" w:rsidRPr="00FC0871">
        <w:tc>
          <w:tcPr>
            <w:tcW w:w="2112" w:type="dxa"/>
          </w:tcPr>
          <w:p w:rsidR="00721B98" w:rsidRPr="00FC0871" w:rsidRDefault="00721B98">
            <w:pPr>
              <w:pStyle w:val="Paper-Title"/>
              <w:spacing w:after="20"/>
              <w:rPr>
                <w:b w:val="0"/>
                <w:bCs/>
                <w:sz w:val="18"/>
              </w:rPr>
            </w:pPr>
            <w:smartTag w:uri="urn:schemas-microsoft-com:office:smarttags" w:element="place">
              <w:smartTag w:uri="urn:schemas-microsoft-com:office:smarttags" w:element="PlaceName">
                <w:r w:rsidRPr="00FC0871">
                  <w:rPr>
                    <w:b w:val="0"/>
                    <w:bCs/>
                    <w:sz w:val="18"/>
                  </w:rPr>
                  <w:t>Harvard</w:t>
                </w:r>
              </w:smartTag>
              <w:r w:rsidRPr="00FC0871">
                <w:rPr>
                  <w:b w:val="0"/>
                  <w:bCs/>
                  <w:sz w:val="18"/>
                </w:rPr>
                <w:t xml:space="preserve"> </w:t>
              </w:r>
              <w:smartTag w:uri="urn:schemas-microsoft-com:office:smarttags" w:element="PlaceType">
                <w:r w:rsidRPr="00FC0871">
                  <w:rPr>
                    <w:b w:val="0"/>
                    <w:bCs/>
                    <w:sz w:val="18"/>
                  </w:rPr>
                  <w:t>University</w:t>
                </w:r>
              </w:smartTag>
            </w:smartTag>
          </w:p>
        </w:tc>
        <w:tc>
          <w:tcPr>
            <w:tcW w:w="1992" w:type="dxa"/>
          </w:tcPr>
          <w:p w:rsidR="00721B98" w:rsidRPr="00FC0871" w:rsidRDefault="00721B98">
            <w:pPr>
              <w:pStyle w:val="Paper-Title"/>
              <w:spacing w:after="20"/>
              <w:rPr>
                <w:b w:val="0"/>
                <w:bCs/>
                <w:sz w:val="18"/>
              </w:rPr>
            </w:pPr>
            <w:r w:rsidRPr="00FC0871">
              <w:rPr>
                <w:b w:val="0"/>
                <w:bCs/>
                <w:sz w:val="18"/>
              </w:rPr>
              <w:t>Microsoft Research</w:t>
            </w:r>
          </w:p>
        </w:tc>
        <w:tc>
          <w:tcPr>
            <w:tcW w:w="1992" w:type="dxa"/>
          </w:tcPr>
          <w:p w:rsidR="00721B98" w:rsidRPr="00FC0871" w:rsidRDefault="00721B98">
            <w:pPr>
              <w:pStyle w:val="Paper-Title"/>
              <w:spacing w:after="20"/>
              <w:rPr>
                <w:b w:val="0"/>
                <w:bCs/>
                <w:sz w:val="18"/>
              </w:rPr>
            </w:pPr>
            <w:smartTag w:uri="urn:schemas-microsoft-com:office:smarttags" w:element="place">
              <w:smartTag w:uri="urn:schemas-microsoft-com:office:smarttags" w:element="PlaceName">
                <w:r w:rsidRPr="00FC0871">
                  <w:rPr>
                    <w:b w:val="0"/>
                    <w:bCs/>
                    <w:sz w:val="18"/>
                  </w:rPr>
                  <w:t>Harvard</w:t>
                </w:r>
              </w:smartTag>
              <w:r w:rsidRPr="00FC0871">
                <w:rPr>
                  <w:b w:val="0"/>
                  <w:bCs/>
                  <w:sz w:val="18"/>
                </w:rPr>
                <w:t xml:space="preserve"> </w:t>
              </w:r>
              <w:smartTag w:uri="urn:schemas-microsoft-com:office:smarttags" w:element="PlaceType">
                <w:r w:rsidRPr="00FC0871">
                  <w:rPr>
                    <w:b w:val="0"/>
                    <w:bCs/>
                    <w:sz w:val="18"/>
                  </w:rPr>
                  <w:t>University</w:t>
                </w:r>
              </w:smartTag>
            </w:smartTag>
          </w:p>
        </w:tc>
        <w:tc>
          <w:tcPr>
            <w:tcW w:w="1992" w:type="dxa"/>
          </w:tcPr>
          <w:p w:rsidR="00721B98" w:rsidRPr="00FC0871" w:rsidRDefault="00721B98">
            <w:pPr>
              <w:pStyle w:val="Paper-Title"/>
              <w:spacing w:after="20"/>
              <w:rPr>
                <w:b w:val="0"/>
                <w:bCs/>
                <w:sz w:val="18"/>
              </w:rPr>
            </w:pPr>
            <w:r w:rsidRPr="00FC0871">
              <w:rPr>
                <w:b w:val="0"/>
                <w:bCs/>
                <w:sz w:val="18"/>
              </w:rPr>
              <w:t>Microsoft Research</w:t>
            </w:r>
          </w:p>
        </w:tc>
      </w:tr>
      <w:tr w:rsidR="00721B98" w:rsidRPr="00FC0871">
        <w:tc>
          <w:tcPr>
            <w:tcW w:w="2112" w:type="dxa"/>
          </w:tcPr>
          <w:p w:rsidR="00721B98" w:rsidRPr="00FC0871" w:rsidRDefault="00721B98" w:rsidP="001B458E">
            <w:pPr>
              <w:pStyle w:val="Paper-Title"/>
              <w:spacing w:after="240"/>
              <w:rPr>
                <w:b w:val="0"/>
                <w:sz w:val="14"/>
              </w:rPr>
            </w:pPr>
            <w:r w:rsidRPr="00FC0871">
              <w:rPr>
                <w:b w:val="0"/>
                <w:sz w:val="14"/>
              </w:rPr>
              <w:t>http://cs.harvard.edu/~pvs</w:t>
            </w:r>
          </w:p>
        </w:tc>
        <w:tc>
          <w:tcPr>
            <w:tcW w:w="1992" w:type="dxa"/>
          </w:tcPr>
          <w:p w:rsidR="00721B98" w:rsidRPr="00FC0871" w:rsidRDefault="00721B98" w:rsidP="001B458E">
            <w:pPr>
              <w:pStyle w:val="Paper-Title"/>
              <w:spacing w:after="240"/>
              <w:rPr>
                <w:b w:val="0"/>
                <w:sz w:val="14"/>
              </w:rPr>
            </w:pPr>
            <w:r w:rsidRPr="00FC0871">
              <w:rPr>
                <w:b w:val="0"/>
                <w:sz w:val="14"/>
              </w:rPr>
              <w:t>johnsny@microsoft.com</w:t>
            </w:r>
          </w:p>
        </w:tc>
        <w:tc>
          <w:tcPr>
            <w:tcW w:w="1992" w:type="dxa"/>
          </w:tcPr>
          <w:p w:rsidR="00721B98" w:rsidRPr="00FC0871" w:rsidRDefault="00721B98" w:rsidP="001B458E">
            <w:pPr>
              <w:pStyle w:val="Paper-Title"/>
              <w:spacing w:after="240"/>
              <w:rPr>
                <w:b w:val="0"/>
                <w:bCs/>
                <w:sz w:val="14"/>
              </w:rPr>
            </w:pPr>
            <w:r w:rsidRPr="00FC0871">
              <w:rPr>
                <w:b w:val="0"/>
                <w:bCs/>
                <w:sz w:val="14"/>
              </w:rPr>
              <w:t>http://cs.harvard.edu/~sjg</w:t>
            </w:r>
          </w:p>
        </w:tc>
        <w:tc>
          <w:tcPr>
            <w:tcW w:w="1992" w:type="dxa"/>
          </w:tcPr>
          <w:p w:rsidR="00721B98" w:rsidRPr="00FC0871" w:rsidRDefault="00721B98" w:rsidP="001B458E">
            <w:pPr>
              <w:pStyle w:val="Paper-Title"/>
              <w:spacing w:after="240"/>
              <w:rPr>
                <w:b w:val="0"/>
                <w:bCs/>
                <w:sz w:val="14"/>
              </w:rPr>
            </w:pPr>
            <w:r w:rsidRPr="00FC0871">
              <w:rPr>
                <w:b w:val="0"/>
                <w:bCs/>
                <w:sz w:val="14"/>
              </w:rPr>
              <w:t>http://research.microsoft.com/~hoppe</w:t>
            </w:r>
          </w:p>
        </w:tc>
      </w:tr>
    </w:tbl>
    <w:p w:rsidR="00721B98" w:rsidRPr="00FC0871" w:rsidRDefault="00721B98">
      <w:pPr>
        <w:pStyle w:val="Paper-Title"/>
        <w:jc w:val="both"/>
        <w:rPr>
          <w:sz w:val="20"/>
        </w:rPr>
        <w:sectPr w:rsidR="00721B98" w:rsidRPr="00FC0871">
          <w:footerReference w:type="default" r:id="rId8"/>
          <w:pgSz w:w="12240" w:h="15840" w:code="1"/>
          <w:pgMar w:top="1080" w:right="1080" w:bottom="1440" w:left="1080" w:header="432" w:footer="720" w:gutter="0"/>
          <w:cols w:space="720"/>
        </w:sectPr>
      </w:pPr>
    </w:p>
    <w:p w:rsidR="00721B98" w:rsidRPr="00FC0871" w:rsidRDefault="00721B98">
      <w:pPr>
        <w:spacing w:before="80" w:after="40"/>
      </w:pPr>
      <w:r w:rsidRPr="00FC0871">
        <w:rPr>
          <w:b/>
          <w:sz w:val="24"/>
        </w:rPr>
        <w:lastRenderedPageBreak/>
        <w:t>Abstract</w:t>
      </w:r>
    </w:p>
    <w:p w:rsidR="00721B98" w:rsidRDefault="00721B98">
      <w:r>
        <w:t>Given an arbitrary mesh, we present a method to construct a progressive mesh (PM) such that all meshes in the PM sequence share a common texture parametrization.  Our method considers two important goals simultaneously.  It minimizes texture stretch (small texture distances mapped onto large surface distances) to balance sampling rates over all locations and directions on the surface.  It also minimizes texture deviation (“slippage” error based on parametric correspondence) to obtain accurate textured mesh approximations.  The method begins by partitioning the mesh into charts using planarity and compactness heuristics.  It creates a stretch-minimizing parametrization within each chart, and resizes the charts based on the resulting stretch.  Next, it simplifies the mesh while respecting the chart boundaries.  The parametrization is re-optimized to reduce both stretch and devi</w:t>
      </w:r>
      <w:r>
        <w:t>a</w:t>
      </w:r>
      <w:r>
        <w:t>tion over the whole PM sequence.  Finally, the charts are packed into a texture atlas.  We demonstrate using such atlases to sample color and normal maps over several models.</w:t>
      </w:r>
    </w:p>
    <w:p w:rsidR="00721B98" w:rsidRPr="007D3319" w:rsidRDefault="00721B98">
      <w:pPr>
        <w:spacing w:before="60" w:after="0"/>
        <w:rPr>
          <w:sz w:val="16"/>
          <w:szCs w:val="16"/>
        </w:rPr>
      </w:pPr>
      <w:r>
        <w:rPr>
          <w:b/>
          <w:sz w:val="16"/>
        </w:rPr>
        <w:t>Additional Keywords</w:t>
      </w:r>
      <w:r>
        <w:rPr>
          <w:sz w:val="16"/>
        </w:rPr>
        <w:t>: mesh simplification, surface flattening, surface parametrization, texture stretch.</w:t>
      </w:r>
    </w:p>
    <w:p w:rsidR="00721B98" w:rsidRDefault="00721B98">
      <w:pPr>
        <w:pStyle w:val="Heading1"/>
      </w:pPr>
      <w:r>
        <w:t>Introduction</w:t>
      </w:r>
    </w:p>
    <w:p w:rsidR="00721B98" w:rsidRDefault="00721B98">
      <w:r>
        <w:t>The progressive mesh (PM) representation encodes an arbitrary mesh as a simple base mesh</w:t>
      </w:r>
      <w:r w:rsidR="006913DC">
        <w:t xml:space="preserve"> </w:t>
      </w:r>
      <m:oMath>
        <m:sSup>
          <m:sSupPr>
            <m:ctrlPr>
              <w:rPr>
                <w:rFonts w:ascii="Cambria Math" w:hAnsi="Cambria Math"/>
                <w:i/>
              </w:rPr>
            </m:ctrlPr>
          </m:sSupPr>
          <m:e>
            <m:r>
              <w:rPr>
                <w:rFonts w:ascii="Cambria Math" w:hAnsi="Cambria Math"/>
              </w:rPr>
              <m:t>M</m:t>
            </m:r>
          </m:e>
          <m:sup>
            <m:r>
              <w:rPr>
                <w:rFonts w:ascii="Cambria Math" w:hAnsi="Cambria Math"/>
              </w:rPr>
              <m:t>0</m:t>
            </m:r>
          </m:sup>
        </m:sSup>
      </m:oMath>
      <w:r>
        <w:t xml:space="preserve"> and a sequence of </w:t>
      </w:r>
      <m:oMath>
        <m:r>
          <w:rPr>
            <w:rFonts w:ascii="Cambria Math" w:hAnsi="Cambria Math"/>
          </w:rPr>
          <m:t>n</m:t>
        </m:r>
      </m:oMath>
      <w:r w:rsidR="006913DC">
        <w:t xml:space="preserve"> </w:t>
      </w:r>
      <w:r>
        <w:t xml:space="preserve">refinement operations called vertex splits </w:t>
      </w:r>
      <w:r>
        <w:fldChar w:fldCharType="begin"/>
      </w:r>
      <w:r>
        <w:instrText xml:space="preserve"> REF _Ref501772595 \r \h  \* MERGEFORMAT </w:instrText>
      </w:r>
      <w:r>
        <w:fldChar w:fldCharType="separate"/>
      </w:r>
      <w:r w:rsidR="00FF60D9">
        <w:t>[10]</w:t>
      </w:r>
      <w:r>
        <w:fldChar w:fldCharType="end"/>
      </w:r>
      <w:r>
        <w:t>.  It defines an array</w:t>
      </w:r>
      <w:r w:rsidR="006913DC">
        <w:t xml:space="preserve">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0</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n</m:t>
                </m:r>
              </m:sup>
            </m:sSup>
          </m:e>
        </m:d>
      </m:oMath>
      <w:r w:rsidR="006913DC">
        <w:t xml:space="preserve"> </w:t>
      </w:r>
      <w:r>
        <w:t xml:space="preserve">of level-of-detail (LOD) approximations, and supports geomorphs and progressive transmission </w:t>
      </w:r>
      <w:r>
        <w:fldChar w:fldCharType="begin"/>
      </w:r>
      <w:r>
        <w:instrText xml:space="preserve"> REF _Ref501773049 \r \h  \* MERGEFORMAT </w:instrText>
      </w:r>
      <w:r>
        <w:fldChar w:fldCharType="separate"/>
      </w:r>
      <w:r w:rsidR="00FF60D9">
        <w:t>[1]</w:t>
      </w:r>
      <w:r>
        <w:fldChar w:fldCharType="end"/>
      </w:r>
      <w:r>
        <w:t>.  Unlike multiresol</w:t>
      </w:r>
      <w:r>
        <w:t>u</w:t>
      </w:r>
      <w:r>
        <w:t>tion frameworks based on subdivision, the meshes in a PM have irregular connectivities that can accurately model sharp features (e.g. creases and corners) at all scales.</w:t>
      </w:r>
    </w:p>
    <w:p w:rsidR="00721B98" w:rsidRDefault="00721B98">
      <w:r>
        <w:t>One challenge in the PM framework is dealing with texture maps.  Hardware rasterization features (including bump maps, normal maps, and multitexturing) let fine detail be captured in texture images parametrized over the mesh.  Sources for textures include sampling detailed scanned meshes, evaluating solid textures, ray tracing, and 3D painting.  In this paper, we address the problem of parametrizing texture images over all meshes in a PM sequence.</w:t>
      </w:r>
    </w:p>
    <w:p w:rsidR="00721B98" w:rsidRDefault="00721B98">
      <w:r>
        <w:t xml:space="preserve">A single unfolding of an arbitrary mesh onto a texture image may create regions of high distortion, so generally a mesh must be partitioned into a set of </w:t>
      </w:r>
      <w:r>
        <w:rPr>
          <w:i/>
          <w:iCs/>
        </w:rPr>
        <w:t>charts</w:t>
      </w:r>
      <w:r>
        <w:t>.  Each chart is parametrized by a region of a texture domain, and these parametrizations collectiv</w:t>
      </w:r>
      <w:r>
        <w:t>e</w:t>
      </w:r>
      <w:r>
        <w:t xml:space="preserve">ly form an </w:t>
      </w:r>
      <w:r>
        <w:rPr>
          <w:i/>
          <w:iCs/>
        </w:rPr>
        <w:t>atlas</w:t>
      </w:r>
      <w:r>
        <w:t xml:space="preserve"> (see </w:t>
      </w:r>
      <w:r>
        <w:fldChar w:fldCharType="begin"/>
      </w:r>
      <w:r>
        <w:instrText xml:space="preserve"> REF _Ref501728282 \h  \* MERGEFORMAT </w:instrText>
      </w:r>
      <w:r>
        <w:fldChar w:fldCharType="separate"/>
      </w:r>
      <w:r w:rsidR="00FF60D9">
        <w:t xml:space="preserve">Figure </w:t>
      </w:r>
      <w:r w:rsidR="00FF60D9">
        <w:rPr>
          <w:noProof/>
        </w:rPr>
        <w:t>4</w:t>
      </w:r>
      <w:r>
        <w:fldChar w:fldCharType="end"/>
      </w:r>
      <w:r>
        <w:t xml:space="preserve">c).  For instance, several schemes </w:t>
      </w:r>
      <w:r>
        <w:fldChar w:fldCharType="begin"/>
      </w:r>
      <w:r>
        <w:instrText xml:space="preserve"> REF _Ref501777335 \r \h  \* MERGEFORMAT </w:instrText>
      </w:r>
      <w:r>
        <w:fldChar w:fldCharType="separate"/>
      </w:r>
      <w:r w:rsidR="00FF60D9">
        <w:t>[2]</w:t>
      </w:r>
      <w:r>
        <w:fldChar w:fldCharType="end"/>
      </w:r>
      <w:r>
        <w:fldChar w:fldCharType="begin"/>
      </w:r>
      <w:r>
        <w:instrText xml:space="preserve"> REF _Ref501777744 \r \h  \* MERGEFORMAT </w:instrText>
      </w:r>
      <w:r>
        <w:fldChar w:fldCharType="separate"/>
      </w:r>
      <w:r w:rsidR="00FF60D9">
        <w:t>[22]</w:t>
      </w:r>
      <w:r>
        <w:fldChar w:fldCharType="end"/>
      </w:r>
      <w:r>
        <w:fldChar w:fldCharType="begin"/>
      </w:r>
      <w:r>
        <w:instrText xml:space="preserve"> REF _Ref501777745 \r \h  \* MERGEFORMAT </w:instrText>
      </w:r>
      <w:r>
        <w:fldChar w:fldCharType="separate"/>
      </w:r>
      <w:r w:rsidR="00FF60D9">
        <w:t>[25]</w:t>
      </w:r>
      <w:r>
        <w:fldChar w:fldCharType="end"/>
      </w:r>
      <w:r>
        <w:fldChar w:fldCharType="begin"/>
      </w:r>
      <w:r>
        <w:instrText xml:space="preserve"> REF _Ref501777748 \r \h  \* MERGEFORMAT </w:instrText>
      </w:r>
      <w:r>
        <w:fldChar w:fldCharType="separate"/>
      </w:r>
      <w:r w:rsidR="00FF60D9">
        <w:t>[27]</w:t>
      </w:r>
      <w:r>
        <w:fldChar w:fldCharType="end"/>
      </w:r>
      <w:r>
        <w:t xml:space="preserve"> simplify a mesh and then construct a texture image chart over each simplified face by sampling attributes (e.g. normals) from the original mesh.</w:t>
      </w:r>
    </w:p>
    <w:tbl>
      <w:tblPr>
        <w:tblpPr w:vertAnchor="page" w:horzAnchor="margin" w:tblpY="13383"/>
        <w:tblOverlap w:val="never"/>
        <w:tblW w:w="4981" w:type="pct"/>
        <w:tblCellMar>
          <w:left w:w="0" w:type="dxa"/>
          <w:right w:w="0" w:type="dxa"/>
        </w:tblCellMar>
        <w:tblLook w:val="0000" w:firstRow="0" w:lastRow="0" w:firstColumn="0" w:lastColumn="0" w:noHBand="0" w:noVBand="0"/>
      </w:tblPr>
      <w:tblGrid>
        <w:gridCol w:w="4777"/>
      </w:tblGrid>
      <w:tr w:rsidR="00721B98">
        <w:trPr>
          <w:trHeight w:val="1441"/>
        </w:trPr>
        <w:tc>
          <w:tcPr>
            <w:tcW w:w="5000" w:type="pct"/>
          </w:tcPr>
          <w:p w:rsidR="00721B98" w:rsidRDefault="00721B98">
            <w:pPr>
              <w:spacing w:after="60"/>
            </w:pPr>
          </w:p>
        </w:tc>
      </w:tr>
    </w:tbl>
    <w:tbl>
      <w:tblPr>
        <w:tblpPr w:leftFromText="101" w:vertAnchor="page" w:horzAnchor="margin" w:tblpXSpec="right" w:tblpY="2651"/>
        <w:tblW w:w="2016" w:type="dxa"/>
        <w:tblCellMar>
          <w:left w:w="0" w:type="dxa"/>
          <w:right w:w="0" w:type="dxa"/>
        </w:tblCellMar>
        <w:tblLook w:val="0000" w:firstRow="0" w:lastRow="0" w:firstColumn="0" w:lastColumn="0" w:noHBand="0" w:noVBand="0"/>
      </w:tblPr>
      <w:tblGrid>
        <w:gridCol w:w="2010"/>
        <w:gridCol w:w="6"/>
      </w:tblGrid>
      <w:tr w:rsidR="001B458E" w:rsidTr="001B458E">
        <w:trPr>
          <w:trHeight w:val="593"/>
        </w:trPr>
        <w:tc>
          <w:tcPr>
            <w:tcW w:w="0" w:type="auto"/>
          </w:tcPr>
          <w:p w:rsidR="001B458E" w:rsidRDefault="001B458E" w:rsidP="001B458E">
            <w:pPr>
              <w:spacing w:after="0"/>
            </w:pPr>
            <w:r>
              <w:rPr>
                <w:noProof/>
              </w:rPr>
              <w:drawing>
                <wp:inline distT="0" distB="0" distL="0" distR="0" wp14:anchorId="135E72B4" wp14:editId="29631DFC">
                  <wp:extent cx="623570" cy="595630"/>
                  <wp:effectExtent l="0" t="0" r="0" b="0"/>
                  <wp:docPr id="1" name="Picture 1"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1"/>
                          <pic:cNvPicPr>
                            <a:picLocks noChangeAspect="1" noChangeArrowheads="1"/>
                          </pic:cNvPicPr>
                        </pic:nvPicPr>
                        <pic:blipFill>
                          <a:blip r:embed="rId9">
                            <a:lum bright="12000" contrast="12000"/>
                            <a:extLst>
                              <a:ext uri="{28A0092B-C50C-407E-A947-70E740481C1C}">
                                <a14:useLocalDpi xmlns:a14="http://schemas.microsoft.com/office/drawing/2010/main" val="0"/>
                              </a:ext>
                            </a:extLst>
                          </a:blip>
                          <a:srcRect l="7201" t="8160" r="7201" b="8881"/>
                          <a:stretch>
                            <a:fillRect/>
                          </a:stretch>
                        </pic:blipFill>
                        <pic:spPr bwMode="auto">
                          <a:xfrm>
                            <a:off x="0" y="0"/>
                            <a:ext cx="623570" cy="595630"/>
                          </a:xfrm>
                          <a:prstGeom prst="rect">
                            <a:avLst/>
                          </a:prstGeom>
                          <a:noFill/>
                          <a:ln>
                            <a:noFill/>
                          </a:ln>
                        </pic:spPr>
                      </pic:pic>
                    </a:graphicData>
                  </a:graphic>
                </wp:inline>
              </w:drawing>
            </w:r>
            <w:r>
              <w:rPr>
                <w:noProof/>
              </w:rPr>
              <w:drawing>
                <wp:inline distT="0" distB="0" distL="0" distR="0" wp14:anchorId="5A822808" wp14:editId="4E46B2CA">
                  <wp:extent cx="623570" cy="595630"/>
                  <wp:effectExtent l="0" t="0" r="0" b="0"/>
                  <wp:docPr id="2" name="Picture 2"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1"/>
                          <pic:cNvPicPr>
                            <a:picLocks noChangeAspect="1" noChangeArrowheads="1"/>
                          </pic:cNvPicPr>
                        </pic:nvPicPr>
                        <pic:blipFill>
                          <a:blip r:embed="rId10">
                            <a:lum bright="12000" contrast="12000"/>
                            <a:extLst>
                              <a:ext uri="{28A0092B-C50C-407E-A947-70E740481C1C}">
                                <a14:useLocalDpi xmlns:a14="http://schemas.microsoft.com/office/drawing/2010/main" val="0"/>
                              </a:ext>
                            </a:extLst>
                          </a:blip>
                          <a:srcRect l="7201" t="8160" r="7201" b="8881"/>
                          <a:stretch>
                            <a:fillRect/>
                          </a:stretch>
                        </pic:blipFill>
                        <pic:spPr bwMode="auto">
                          <a:xfrm>
                            <a:off x="0" y="0"/>
                            <a:ext cx="623570" cy="595630"/>
                          </a:xfrm>
                          <a:prstGeom prst="rect">
                            <a:avLst/>
                          </a:prstGeom>
                          <a:noFill/>
                          <a:ln>
                            <a:noFill/>
                          </a:ln>
                        </pic:spPr>
                      </pic:pic>
                    </a:graphicData>
                  </a:graphic>
                </wp:inline>
              </w:drawing>
            </w:r>
          </w:p>
        </w:tc>
        <w:tc>
          <w:tcPr>
            <w:tcW w:w="0" w:type="auto"/>
          </w:tcPr>
          <w:p w:rsidR="001B458E" w:rsidRDefault="001B458E" w:rsidP="001B458E">
            <w:pPr>
              <w:spacing w:after="0"/>
              <w:rPr>
                <w:sz w:val="12"/>
              </w:rPr>
            </w:pPr>
          </w:p>
        </w:tc>
      </w:tr>
    </w:tbl>
    <w:p w:rsidR="00721B98" w:rsidRDefault="00721B98">
      <w:r>
        <w:t>For a PM, one might then consider re-using chart images defined on faces of</w:t>
      </w:r>
      <w:r w:rsidR="006913DC">
        <w:t xml:space="preserve"> </w:t>
      </w:r>
      <m:oMath>
        <m:sSup>
          <m:sSupPr>
            <m:ctrlPr>
              <w:rPr>
                <w:rFonts w:ascii="Cambria Math" w:hAnsi="Cambria Math"/>
                <w:i/>
              </w:rPr>
            </m:ctrlPr>
          </m:sSupPr>
          <m:e>
            <m:r>
              <w:rPr>
                <w:rFonts w:ascii="Cambria Math" w:hAnsi="Cambria Math"/>
              </w:rPr>
              <m:t>M</m:t>
            </m:r>
          </m:e>
          <m:sup>
            <m:r>
              <w:rPr>
                <w:rFonts w:ascii="Cambria Math" w:hAnsi="Cambria Math"/>
              </w:rPr>
              <m:t>0</m:t>
            </m:r>
          </m:sup>
        </m:sSup>
      </m:oMath>
      <w:r>
        <w:t xml:space="preserve"> for all meshes</w:t>
      </w:r>
      <w:r w:rsidR="006913DC">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n</m:t>
            </m:r>
          </m:sup>
        </m:sSup>
      </m:oMath>
      <w:r>
        <w:t xml:space="preserve">.  However, the problem is that a PM is generally not </w:t>
      </w:r>
      <w:r>
        <w:rPr>
          <w:i/>
          <w:iCs/>
        </w:rPr>
        <w:t>chart-compliant</w:t>
      </w:r>
      <w:r>
        <w:t>, in that its vertex splits can change the chart topology when applied indiscriminately near chart boundaries, thereby forcing parametric discontinuities.  For example, the vertex split shown on the right changes the adjace</w:t>
      </w:r>
      <w:r>
        <w:t>n</w:t>
      </w:r>
      <w:r>
        <w:t>cy of the three colored charts, resulting in the discontinuous texture.  Fort</w:t>
      </w:r>
      <w:r>
        <w:t>u</w:t>
      </w:r>
      <w:r>
        <w:t xml:space="preserve">nately, it is possible to construct a single atlas parametrization for the entire PM sequence.  Chart-compliance can be obtained by first defining the charts on the original mesh, and then </w:t>
      </w:r>
      <w:r>
        <w:rPr>
          <w:i/>
          <w:iCs/>
        </w:rPr>
        <w:t>constraining</w:t>
      </w:r>
      <w:r>
        <w:t xml:space="preserve"> a simplification sequence to comply with those chart boundaries </w:t>
      </w:r>
      <w:r>
        <w:fldChar w:fldCharType="begin"/>
      </w:r>
      <w:r>
        <w:instrText xml:space="preserve"> REF _Ref501777873 \r \h  \* MERGEFORMAT </w:instrText>
      </w:r>
      <w:r>
        <w:fldChar w:fldCharType="separate"/>
      </w:r>
      <w:r w:rsidR="00FF60D9">
        <w:t>[3]</w:t>
      </w:r>
      <w:r>
        <w:fldChar w:fldCharType="end"/>
      </w:r>
      <w:r>
        <w:t>.</w:t>
      </w:r>
    </w:p>
    <w:p w:rsidR="00721B98" w:rsidRDefault="00721B98">
      <w:r>
        <w:t>Therefore, our problem is the following: given an arbitrary mesh, parametrize it onto a texture atlas, and create a PM sequence compliant with the atlas charts.  In doing so, we have two goals:</w:t>
      </w:r>
    </w:p>
    <w:p w:rsidR="00721B98" w:rsidRDefault="00721B98">
      <w:pPr>
        <w:ind w:left="29" w:hanging="29"/>
      </w:pPr>
      <w:r>
        <w:t xml:space="preserve">- Minimize </w:t>
      </w:r>
      <w:r>
        <w:rPr>
          <w:b/>
        </w:rPr>
        <w:t>texture stretch</w:t>
      </w:r>
      <w:r>
        <w:t>:  The parametrization determines sampling density over the surface, but is constructed before knowing what texture map(s) will be applied.  Therefore, we seek a balanced parametrization rather than one that samples finely in some surface regions or directions while undersampling others.  A conservative, local measure of how finely the parametrization samples the texture signal is the larger singular value of its Jac</w:t>
      </w:r>
      <w:r>
        <w:t>o</w:t>
      </w:r>
      <w:r>
        <w:t xml:space="preserve">bian, which measures how much a sampling direction in the texture domain is stretched on the mesh surface in the worst case.  By minimizing the largest texture stretch across all domain points, we create a balanced parametrization where no domain direction is too stretched and thus undersamples its corresponding mapped 3D direction.  (See </w:t>
      </w:r>
      <w:r>
        <w:fldChar w:fldCharType="begin"/>
      </w:r>
      <w:r>
        <w:instrText xml:space="preserve"> REF _Ref503245882 \h  \* MERGEFORMAT </w:instrText>
      </w:r>
      <w:r>
        <w:fldChar w:fldCharType="separate"/>
      </w:r>
      <w:r w:rsidR="00FF60D9">
        <w:t xml:space="preserve">Figure </w:t>
      </w:r>
      <w:r w:rsidR="00FF60D9">
        <w:rPr>
          <w:noProof/>
        </w:rPr>
        <w:t>1</w:t>
      </w:r>
      <w:r>
        <w:fldChar w:fldCharType="end"/>
      </w:r>
      <w:r>
        <w:t xml:space="preserve"> and </w:t>
      </w:r>
      <w:r>
        <w:fldChar w:fldCharType="begin"/>
      </w:r>
      <w:r>
        <w:instrText xml:space="preserve"> REF _Ref501727242 \h \* MERGEFORMAT </w:instrText>
      </w:r>
      <w:r>
        <w:fldChar w:fldCharType="separate"/>
      </w:r>
      <w:r w:rsidR="00FF60D9">
        <w:t xml:space="preserve">Figure </w:t>
      </w:r>
      <w:r w:rsidR="00FF60D9">
        <w:rPr>
          <w:noProof/>
        </w:rPr>
        <w:t>6</w:t>
      </w:r>
      <w:r>
        <w:fldChar w:fldCharType="end"/>
      </w:r>
      <w:r>
        <w:t>.)</w:t>
      </w:r>
    </w:p>
    <w:p w:rsidR="00721B98" w:rsidRDefault="00721B98">
      <w:pPr>
        <w:ind w:left="29" w:hanging="29"/>
      </w:pPr>
      <w:r>
        <w:t xml:space="preserve">- Minimize </w:t>
      </w:r>
      <w:r>
        <w:rPr>
          <w:b/>
        </w:rPr>
        <w:t>texture deviation</w:t>
      </w:r>
      <w:r>
        <w:t>:  Traditional mesh simplification measures geometric error by approximating closest-point (Hausdorff) distance.  For textured surfaces, it is more appropr</w:t>
      </w:r>
      <w:r>
        <w:t>i</w:t>
      </w:r>
      <w:r>
        <w:t xml:space="preserve">ate to use the stricter </w:t>
      </w:r>
      <w:r>
        <w:rPr>
          <w:i/>
          <w:iCs/>
        </w:rPr>
        <w:t>texture deviation</w:t>
      </w:r>
      <w:r>
        <w:t xml:space="preserve"> error, which measures geometric error according to parametric correspondence </w:t>
      </w:r>
      <w:r>
        <w:fldChar w:fldCharType="begin"/>
      </w:r>
      <w:r>
        <w:instrText xml:space="preserve"> REF _Ref501777873 \r \h  \* MERGEFORMAT </w:instrText>
      </w:r>
      <w:r>
        <w:fldChar w:fldCharType="separate"/>
      </w:r>
      <w:r w:rsidR="00FF60D9">
        <w:t>[3]</w:t>
      </w:r>
      <w:r>
        <w:fldChar w:fldCharType="end"/>
      </w:r>
      <w:r>
        <w:t>.  For a PM, texture deviation can be graphed as a function of mesh complexity (</w:t>
      </w:r>
      <w:r>
        <w:fldChar w:fldCharType="begin"/>
      </w:r>
      <w:r>
        <w:instrText xml:space="preserve"> REF _Ref503668139 \h </w:instrText>
      </w:r>
      <w:r>
        <w:fldChar w:fldCharType="separate"/>
      </w:r>
      <w:r w:rsidR="00FF60D9">
        <w:t xml:space="preserve">Figure </w:t>
      </w:r>
      <w:r w:rsidR="00FF60D9">
        <w:rPr>
          <w:noProof/>
        </w:rPr>
        <w:t>3</w:t>
      </w:r>
      <w:r>
        <w:fldChar w:fldCharType="end"/>
      </w:r>
      <w:r>
        <w:t>).  Our goal is to lower this graph curve.</w:t>
      </w:r>
    </w:p>
    <w:p w:rsidR="00721B98" w:rsidRDefault="00721B98">
      <w:r>
        <w:t>Recall that the motivation for partitioning the surface into charts is to reduce texture stretch.  However, the presence of chart boundaries hinders simplification quality since chart-compliance requires that these boundaries appear as edges in all meshes including</w:t>
      </w:r>
      <w:r w:rsidR="006913DC">
        <w:t xml:space="preserve"> </w:t>
      </w:r>
      <m:oMath>
        <m:sSup>
          <m:sSupPr>
            <m:ctrlPr>
              <w:rPr>
                <w:rFonts w:ascii="Cambria Math" w:hAnsi="Cambria Math"/>
                <w:i/>
              </w:rPr>
            </m:ctrlPr>
          </m:sSupPr>
          <m:e>
            <m:r>
              <w:rPr>
                <w:rFonts w:ascii="Cambria Math" w:hAnsi="Cambria Math"/>
              </w:rPr>
              <m:t>M</m:t>
            </m:r>
          </m:e>
          <m:sup>
            <m:r>
              <w:rPr>
                <w:rFonts w:ascii="Cambria Math" w:hAnsi="Cambria Math"/>
              </w:rPr>
              <m:t>0</m:t>
            </m:r>
          </m:sup>
        </m:sSup>
      </m:oMath>
      <w:r>
        <w:t>.  In the extreme, if each face of</w:t>
      </w:r>
      <w:r w:rsidR="006913DC">
        <w:t xml:space="preserve"> </w:t>
      </w:r>
      <m:oMath>
        <m:sSup>
          <m:sSupPr>
            <m:ctrlPr>
              <w:rPr>
                <w:rFonts w:ascii="Cambria Math" w:hAnsi="Cambria Math"/>
                <w:i/>
              </w:rPr>
            </m:ctrlPr>
          </m:sSupPr>
          <m:e>
            <m:r>
              <w:rPr>
                <w:rFonts w:ascii="Cambria Math" w:hAnsi="Cambria Math"/>
              </w:rPr>
              <m:t>M</m:t>
            </m:r>
          </m:e>
          <m:sup>
            <m:r>
              <w:rPr>
                <w:rFonts w:ascii="Cambria Math" w:hAnsi="Cambria Math"/>
              </w:rPr>
              <m:t>n</m:t>
            </m:r>
          </m:sup>
        </m:sSup>
      </m:oMath>
      <w:r>
        <w:t xml:space="preserve"> is made its own chart, stretch is zero, but no simplification can occur.  Hence, there exists a trade-off between texture stretch and deviation.</w:t>
      </w:r>
    </w:p>
    <w:p w:rsidR="00721B98" w:rsidRDefault="00721B98">
      <w:r>
        <w:t>Minimizing stretch and deviation is a difficult nonlinear problem over both discrete and continuous variables.  The discrete vari</w:t>
      </w:r>
      <w:r>
        <w:t>a</w:t>
      </w:r>
      <w:r>
        <w:t>bles are the mesh partition and the edge collapse sequence.  The continuous variables are the texture coordinates of the vertices.  Our approach is to set the discrete variables early, using heuri</w:t>
      </w:r>
      <w:r>
        <w:t>s</w:t>
      </w:r>
      <w:r>
        <w:t>tics, and then proceed to optimize the continuous variables.  Specifically, our method has the following steps:</w:t>
      </w:r>
    </w:p>
    <w:p w:rsidR="00721B98" w:rsidRDefault="00721B98">
      <w:pPr>
        <w:keepLines/>
        <w:jc w:val="left"/>
      </w:pPr>
      <w:r>
        <w:t>(1) partition original mesh into charts  (considering geometry)</w:t>
      </w:r>
      <w:r>
        <w:br/>
        <w:t>(2) form initial chart parametrizations  (minimizing stretch)</w:t>
      </w:r>
      <w:r>
        <w:br/>
        <w:t xml:space="preserve">(3) resize chart polygons  (based on stretch) </w:t>
      </w:r>
      <w:r>
        <w:br/>
        <w:t>(4) simplify mesh  (minimizing texture deviation, creating PM)</w:t>
      </w:r>
      <w:r>
        <w:br/>
        <w:t xml:space="preserve">(5) optimize parametrization  (stretch &amp; deviation over </w:t>
      </w:r>
      <w:r>
        <w:rPr>
          <w:i/>
          <w:iCs/>
        </w:rPr>
        <w:t>all</w:t>
      </w:r>
      <w:r>
        <w:t xml:space="preserve"> PM)</w:t>
      </w:r>
      <w:r>
        <w:br/>
        <w:t>(6) pack chart polygons  (forming texture atlas)</w:t>
      </w:r>
      <w:r>
        <w:br/>
        <w:t>(7) sample texture images  (using atlas parametrization)</w:t>
      </w:r>
    </w:p>
    <w:p w:rsidR="00721B98" w:rsidRDefault="00721B98">
      <w:pPr>
        <w:keepNext/>
      </w:pPr>
      <w:r>
        <w:lastRenderedPageBreak/>
        <w:t>The contributions of our work are:</w:t>
      </w:r>
    </w:p>
    <w:p w:rsidR="00721B98" w:rsidRDefault="00721B98">
      <w:pPr>
        <w:pStyle w:val="Bullet"/>
      </w:pPr>
      <w:r>
        <w:t>an algorithm for partitioning a mesh into charts, which consi</w:t>
      </w:r>
      <w:r>
        <w:t>d</w:t>
      </w:r>
      <w:r>
        <w:t>ers simplification quality and does not alter the mesh.</w:t>
      </w:r>
    </w:p>
    <w:p w:rsidR="00721B98" w:rsidRDefault="00721B98">
      <w:pPr>
        <w:pStyle w:val="Bullet"/>
      </w:pPr>
      <w:r>
        <w:t>a texture stretch metric that uniformly penalizes undersampling everywhere over the surface.</w:t>
      </w:r>
    </w:p>
    <w:p w:rsidR="00721B98" w:rsidRDefault="00721B98">
      <w:pPr>
        <w:pStyle w:val="Bullet"/>
      </w:pPr>
      <w:r>
        <w:t>an algorithm for minimizing this stretch metric in the</w:t>
      </w:r>
      <w:r w:rsidR="006913DC">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oMath>
      <w:r>
        <w:t xml:space="preserve"> and</w:t>
      </w:r>
      <w:r w:rsidR="006913DC">
        <w:t xml:space="preserve"> </w:t>
      </w:r>
      <m:oMath>
        <m:sSup>
          <m:sSupPr>
            <m:ctrlPr>
              <w:rPr>
                <w:rFonts w:ascii="Cambria Math" w:hAnsi="Cambria Math"/>
                <w:i/>
              </w:rPr>
            </m:ctrlPr>
          </m:sSupPr>
          <m:e>
            <m:r>
              <w:rPr>
                <w:rFonts w:ascii="Cambria Math" w:hAnsi="Cambria Math"/>
              </w:rPr>
              <m:t>L</m:t>
            </m:r>
          </m:e>
          <m:sup>
            <m:r>
              <w:rPr>
                <w:rFonts w:ascii="Cambria Math" w:hAnsi="Cambria Math"/>
              </w:rPr>
              <m:t>∞</m:t>
            </m:r>
          </m:sup>
        </m:sSup>
      </m:oMath>
      <w:r w:rsidR="006913DC">
        <w:t xml:space="preserve"> </w:t>
      </w:r>
      <w:r>
        <w:t>norms, which can be used for both static meshes and PMs.</w:t>
      </w:r>
    </w:p>
    <w:p w:rsidR="00721B98" w:rsidRDefault="00721B98">
      <w:pPr>
        <w:pStyle w:val="Bullet"/>
      </w:pPr>
      <w:r>
        <w:t xml:space="preserve">a scheme for optimizing the parametrization to minimize both texture stretch and texture deviation at </w:t>
      </w:r>
      <w:r>
        <w:rPr>
          <w:rStyle w:val="ItalicChar"/>
        </w:rPr>
        <w:t xml:space="preserve">all </w:t>
      </w:r>
      <w:r>
        <w:t>PM levels, with a</w:t>
      </w:r>
      <w:r>
        <w:t>p</w:t>
      </w:r>
      <w:r>
        <w:t>propriate weighting of each mesh in</w:t>
      </w:r>
      <w:r w:rsidR="006913DC">
        <w:t xml:space="preserve"> </w:t>
      </w:r>
      <m:oMath>
        <m:sSup>
          <m:sSupPr>
            <m:ctrlPr>
              <w:rPr>
                <w:rFonts w:ascii="Cambria Math" w:hAnsi="Cambria Math"/>
                <w:i/>
              </w:rPr>
            </m:ctrlPr>
          </m:sSupPr>
          <m:e>
            <m:r>
              <w:rPr>
                <w:rFonts w:ascii="Cambria Math" w:hAnsi="Cambria Math"/>
              </w:rPr>
              <m:t>M</m:t>
            </m:r>
          </m:e>
          <m:sup>
            <m:r>
              <w:rPr>
                <w:rFonts w:ascii="Cambria Math" w:hAnsi="Cambria Math"/>
              </w:rPr>
              <m:t>0</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n</m:t>
            </m:r>
          </m:sup>
        </m:sSup>
      </m:oMath>
      <w:r>
        <w:t>.</w:t>
      </w:r>
    </w:p>
    <w:p w:rsidR="00721B98" w:rsidRDefault="00721B98">
      <w:pPr>
        <w:pStyle w:val="Bullet"/>
      </w:pPr>
      <w:r>
        <w:t>the first automatic solution for creating a PM representation with a consistent surface parametrization for all LODs.</w:t>
      </w:r>
    </w:p>
    <w:p w:rsidR="00721B98" w:rsidRDefault="00721B98">
      <w:pPr>
        <w:pStyle w:val="Heading1"/>
      </w:pPr>
      <w:r>
        <w:t>Previous work</w:t>
      </w:r>
    </w:p>
    <w:p w:rsidR="00721B98" w:rsidRDefault="00721B98">
      <w:r>
        <w:rPr>
          <w:b/>
          <w:bCs/>
        </w:rPr>
        <w:t>Mesh partitioning into charts.</w:t>
      </w:r>
      <w:r>
        <w:t xml:space="preserve">  Several authors have proposed methods for parametrizing meshes by partitioning into charts.  Krishnamurthy and Levoy </w:t>
      </w:r>
      <w:r>
        <w:fldChar w:fldCharType="begin"/>
      </w:r>
      <w:r>
        <w:instrText xml:space="preserve"> REF _Ref501778154 \r \h </w:instrText>
      </w:r>
      <w:r>
        <w:fldChar w:fldCharType="separate"/>
      </w:r>
      <w:r w:rsidR="00FF60D9">
        <w:t>[17]</w:t>
      </w:r>
      <w:r>
        <w:fldChar w:fldCharType="end"/>
      </w:r>
      <w:r>
        <w:t xml:space="preserve"> describe an interactive system in which the user manually lays out chart boundaries by tracing curves.  Maillot et al. </w:t>
      </w:r>
      <w:r>
        <w:fldChar w:fldCharType="begin"/>
      </w:r>
      <w:r>
        <w:instrText xml:space="preserve"> REF _Ref503521644 \r \h </w:instrText>
      </w:r>
      <w:r>
        <w:fldChar w:fldCharType="separate"/>
      </w:r>
      <w:r w:rsidR="00FF60D9">
        <w:t>[21]</w:t>
      </w:r>
      <w:r>
        <w:fldChar w:fldCharType="end"/>
      </w:r>
      <w:r>
        <w:t xml:space="preserve"> partition mesh faces according to a bucketing of face normals.  Eck et al. </w:t>
      </w:r>
      <w:r>
        <w:fldChar w:fldCharType="begin"/>
      </w:r>
      <w:r>
        <w:instrText xml:space="preserve"> REF _Ref501778256 \r \h </w:instrText>
      </w:r>
      <w:r>
        <w:fldChar w:fldCharType="separate"/>
      </w:r>
      <w:r w:rsidR="00FF60D9">
        <w:t>[4]</w:t>
      </w:r>
      <w:r>
        <w:fldChar w:fldCharType="end"/>
      </w:r>
      <w:r>
        <w:t xml:space="preserve"> use a Voronoi-based partition.  These last two algorithms make little effort to adapt charts to surface geometry, so the chart boundaries can hinder simplification, leading to poor LOD approximations.</w:t>
      </w:r>
    </w:p>
    <w:p w:rsidR="00721B98" w:rsidRDefault="00721B98">
      <w:r>
        <w:t xml:space="preserve">MAPS </w:t>
      </w:r>
      <w:r>
        <w:fldChar w:fldCharType="begin"/>
      </w:r>
      <w:r>
        <w:instrText xml:space="preserve"> REF _Ref501778659 \r \h </w:instrText>
      </w:r>
      <w:r>
        <w:fldChar w:fldCharType="separate"/>
      </w:r>
      <w:r w:rsidR="00FF60D9">
        <w:t>[18]</w:t>
      </w:r>
      <w:r>
        <w:fldChar w:fldCharType="end"/>
      </w:r>
      <w:r>
        <w:t xml:space="preserve"> and Normal Meshes </w:t>
      </w:r>
      <w:r>
        <w:fldChar w:fldCharType="begin"/>
      </w:r>
      <w:r>
        <w:instrText xml:space="preserve"> REF _Ref501778674 \r \h </w:instrText>
      </w:r>
      <w:r>
        <w:fldChar w:fldCharType="separate"/>
      </w:r>
      <w:r w:rsidR="00FF60D9">
        <w:t>[8]</w:t>
      </w:r>
      <w:r>
        <w:fldChar w:fldCharType="end"/>
      </w:r>
      <w:r>
        <w:t xml:space="preserve"> map edges of the simplified base domain back to the original mesh.  While the resulting charts adapt to surface geometry, their boundaries cut across faces of original mesh, requiring addition of new vertices and faces.  For the applications in </w:t>
      </w:r>
      <w:r>
        <w:fldChar w:fldCharType="begin"/>
      </w:r>
      <w:r>
        <w:instrText xml:space="preserve"> REF _Ref501778674 \r \h </w:instrText>
      </w:r>
      <w:r>
        <w:fldChar w:fldCharType="separate"/>
      </w:r>
      <w:r w:rsidR="00FF60D9">
        <w:t>[8]</w:t>
      </w:r>
      <w:r>
        <w:fldChar w:fldCharType="end"/>
      </w:r>
      <w:r>
        <w:fldChar w:fldCharType="begin"/>
      </w:r>
      <w:r>
        <w:instrText xml:space="preserve"> REF _Ref501778659 \r \h </w:instrText>
      </w:r>
      <w:r>
        <w:fldChar w:fldCharType="separate"/>
      </w:r>
      <w:r w:rsidR="00FF60D9">
        <w:t>[18]</w:t>
      </w:r>
      <w:r>
        <w:fldChar w:fldCharType="end"/>
      </w:r>
      <w:r>
        <w:t>, these additional vertices are only temporary, because the mesh geometry is subsequently resampled.  However, our application is to generate a PM from a user-specified mesh, whose connectivity is often carefully optimized, so the imposition of new vertices is a drawback.</w:t>
      </w:r>
    </w:p>
    <w:p w:rsidR="00721B98" w:rsidRDefault="00721B98">
      <w:r>
        <w:rPr>
          <w:b/>
          <w:bCs/>
        </w:rPr>
        <w:t>Chart parametrization.</w:t>
      </w:r>
      <w:r>
        <w:t xml:space="preserve">  Several schemes have been proposed to flatten surface regions to establish a parametrization.  The schemes typically obtain the parametrization by minimizing an objective functional.  The main distinction between the functio</w:t>
      </w:r>
      <w:r>
        <w:t>n</w:t>
      </w:r>
      <w:r>
        <w:t>als is how they measure the distance of the parametrization from an isometry (a mapping preserving lengths and angles).</w:t>
      </w:r>
    </w:p>
    <w:p w:rsidR="00721B98" w:rsidRDefault="00721B98">
      <w:r>
        <w:t xml:space="preserve">Maillot et al. </w:t>
      </w:r>
      <w:r>
        <w:fldChar w:fldCharType="begin"/>
      </w:r>
      <w:r>
        <w:instrText xml:space="preserve"> REF _Ref503521644 \r \h </w:instrText>
      </w:r>
      <w:r>
        <w:fldChar w:fldCharType="separate"/>
      </w:r>
      <w:r w:rsidR="00FF60D9">
        <w:t>[21]</w:t>
      </w:r>
      <w:r>
        <w:fldChar w:fldCharType="end"/>
      </w:r>
      <w:r>
        <w:t xml:space="preserve"> base their metric on edge springs of nonzero rest length, where rest length corresponds to edge length on the surface.  To ensure that the parametrization is 1-to-1, (i.e., to avoid parametric “buckling”, also called “face flipping”), they add an area-preservation term to the metric.  When the texture domain boundary is fixed as in our application, it is unclear how edge rest-lengths should be scaled.  More importantly, the weighting between the edge springs and the area-preservation term must be adjusted to produce an embedding.</w:t>
      </w:r>
    </w:p>
    <w:p w:rsidR="00721B98" w:rsidRDefault="00721B98">
      <w:r>
        <w:t xml:space="preserve">Eck et al. </w:t>
      </w:r>
      <w:r>
        <w:fldChar w:fldCharType="begin"/>
      </w:r>
      <w:r>
        <w:instrText xml:space="preserve"> REF _Ref501778256 \r \h </w:instrText>
      </w:r>
      <w:r>
        <w:fldChar w:fldCharType="separate"/>
      </w:r>
      <w:r w:rsidR="00FF60D9">
        <w:t>[4]</w:t>
      </w:r>
      <w:r>
        <w:fldChar w:fldCharType="end"/>
      </w:r>
      <w:r>
        <w:t xml:space="preserve"> propose the harmonic map, which weights edge springs non-uniformly.  The weights can sometimes be negative, in which case an embedding is not guaranteed.  Floater </w:t>
      </w:r>
      <w:r>
        <w:fldChar w:fldCharType="begin"/>
      </w:r>
      <w:r>
        <w:instrText xml:space="preserve"> REF _Ref501788518 \r \h </w:instrText>
      </w:r>
      <w:r>
        <w:fldChar w:fldCharType="separate"/>
      </w:r>
      <w:r w:rsidR="00FF60D9">
        <w:t>[5]</w:t>
      </w:r>
      <w:r>
        <w:fldChar w:fldCharType="end"/>
      </w:r>
      <w:r>
        <w:t xml:space="preserve"> pr</w:t>
      </w:r>
      <w:r>
        <w:t>o</w:t>
      </w:r>
      <w:r>
        <w:t>poses a similar scheme with a different edge-spring weighting that guarantees embedding for convex boundaries.  For either method, the parametrization can be found by solving a linear system.</w:t>
      </w:r>
    </w:p>
    <w:p w:rsidR="00721B98" w:rsidRDefault="00721B98">
      <w:r>
        <w:t xml:space="preserve">Lévy and Mallet </w:t>
      </w:r>
      <w:r>
        <w:fldChar w:fldCharType="begin"/>
      </w:r>
      <w:r>
        <w:instrText xml:space="preserve"> REF _Ref501787098 \r \h </w:instrText>
      </w:r>
      <w:r>
        <w:fldChar w:fldCharType="separate"/>
      </w:r>
      <w:r w:rsidR="00FF60D9">
        <w:t>[19]</w:t>
      </w:r>
      <w:r>
        <w:fldChar w:fldCharType="end"/>
      </w:r>
      <w:r>
        <w:t xml:space="preserve"> combine orthogonality and isoparametric terms in their metric.  To solve the resulting nonlinear optimiz</w:t>
      </w:r>
      <w:r>
        <w:t>a</w:t>
      </w:r>
      <w:r>
        <w:t>tion, they iteratively fix one texture component (</w:t>
      </w:r>
      <m:oMath>
        <m:r>
          <w:rPr>
            <w:rFonts w:ascii="Cambria Math" w:hAnsi="Cambria Math"/>
          </w:rPr>
          <m:t>s</m:t>
        </m:r>
      </m:oMath>
      <w:r w:rsidR="006913DC">
        <w:t xml:space="preserve"> or </w:t>
      </w:r>
      <m:oMath>
        <m:r>
          <w:rPr>
            <w:rFonts w:ascii="Cambria Math" w:hAnsi="Cambria Math"/>
          </w:rPr>
          <m:t>t</m:t>
        </m:r>
      </m:oMath>
      <w:r>
        <w:t>) and solve for the other using a linear optimization.  As in</w:t>
      </w:r>
      <w:r w:rsidR="0050008E">
        <w:t xml:space="preserve"> </w:t>
      </w:r>
      <w:r w:rsidR="0050008E">
        <w:fldChar w:fldCharType="begin"/>
      </w:r>
      <w:r w:rsidR="0050008E">
        <w:instrText xml:space="preserve"> REF _Ref503521644 \r \h </w:instrText>
      </w:r>
      <w:r w:rsidR="0050008E">
        <w:fldChar w:fldCharType="separate"/>
      </w:r>
      <w:r w:rsidR="00FF60D9">
        <w:t>[21]</w:t>
      </w:r>
      <w:r w:rsidR="0050008E">
        <w:fldChar w:fldCharType="end"/>
      </w:r>
      <w:r>
        <w:t>, a term is added which must be sufficiently weighted to guarantee an e</w:t>
      </w:r>
      <w:r>
        <w:t>m</w:t>
      </w:r>
      <w:r>
        <w:t xml:space="preserve">bedding. </w:t>
      </w:r>
    </w:p>
    <w:p w:rsidR="00721B98" w:rsidRDefault="00721B98">
      <w:r>
        <w:t xml:space="preserve">Hormann and Greiner </w:t>
      </w:r>
      <w:r>
        <w:fldChar w:fldCharType="begin"/>
      </w:r>
      <w:r>
        <w:instrText xml:space="preserve"> REF _Ref501878670 \r \h </w:instrText>
      </w:r>
      <w:r>
        <w:fldChar w:fldCharType="separate"/>
      </w:r>
      <w:r w:rsidR="00FF60D9">
        <w:t>[11]</w:t>
      </w:r>
      <w:r>
        <w:fldChar w:fldCharType="end"/>
      </w:r>
      <w:r>
        <w:t xml:space="preserve"> propose the MIPS parametrization, which roughly attempts to preserve the ratio of singular values over the parametrization.  However, the metric disregards absolute stretch scale over the surface, with the result that small domain areas can map to large regions on the surface. </w:t>
      </w:r>
    </w:p>
    <w:p w:rsidR="00721B98" w:rsidRDefault="00721B98">
      <w:r>
        <w:t xml:space="preserve">To allow all meshes in the PM to share a common texture map, it is necessary that we create domains with straight boundaries between chart corners, unlike </w:t>
      </w:r>
      <w:r>
        <w:fldChar w:fldCharType="begin"/>
      </w:r>
      <w:r>
        <w:instrText xml:space="preserve"> REF _Ref501878670 \r \h </w:instrText>
      </w:r>
      <w:r>
        <w:fldChar w:fldCharType="separate"/>
      </w:r>
      <w:r w:rsidR="00FF60D9">
        <w:t>[11]</w:t>
      </w:r>
      <w:r>
        <w:fldChar w:fldCharType="end"/>
      </w:r>
      <w:r>
        <w:fldChar w:fldCharType="begin"/>
      </w:r>
      <w:r>
        <w:instrText xml:space="preserve"> REF _Ref501787098 \r \h </w:instrText>
      </w:r>
      <w:r>
        <w:fldChar w:fldCharType="separate"/>
      </w:r>
      <w:r w:rsidR="00FF60D9">
        <w:t>[19]</w:t>
      </w:r>
      <w:r>
        <w:fldChar w:fldCharType="end"/>
      </w:r>
      <w:r>
        <w:fldChar w:fldCharType="begin"/>
      </w:r>
      <w:r>
        <w:instrText xml:space="preserve"> REF _Ref503521644 \r \h </w:instrText>
      </w:r>
      <w:r>
        <w:fldChar w:fldCharType="separate"/>
      </w:r>
      <w:r w:rsidR="00FF60D9">
        <w:t>[21]</w:t>
      </w:r>
      <w:r>
        <w:fldChar w:fldCharType="end"/>
      </w:r>
      <w:r>
        <w:t>.</w:t>
      </w:r>
    </w:p>
    <w:p w:rsidR="00721B98" w:rsidRDefault="00721B98">
      <w:r>
        <w:t>Our main contribution is to directly optimize the two relevant goals for texture mapping PMs: minimal texture stretch and minimal texture deviation.  Our novel stretch metric attempts to balance sampling rates everywhere on the surface, unlike previous techniques.</w:t>
      </w:r>
    </w:p>
    <w:p w:rsidR="00721B98" w:rsidRDefault="00721B98">
      <w:r>
        <w:rPr>
          <w:b/>
          <w:bCs/>
        </w:rPr>
        <w:t>Appearance-preserving simplification.</w:t>
      </w:r>
      <w:r>
        <w:t xml:space="preserve">  Cohen et al. </w:t>
      </w:r>
      <w:r>
        <w:fldChar w:fldCharType="begin"/>
      </w:r>
      <w:r>
        <w:instrText xml:space="preserve"> REF _Ref501777873 \r \h </w:instrText>
      </w:r>
      <w:r>
        <w:fldChar w:fldCharType="separate"/>
      </w:r>
      <w:r w:rsidR="00FF60D9">
        <w:t>[3]</w:t>
      </w:r>
      <w:r>
        <w:fldChar w:fldCharType="end"/>
      </w:r>
      <w:r>
        <w:t xml:space="preserve"> intr</w:t>
      </w:r>
      <w:r>
        <w:t>o</w:t>
      </w:r>
      <w:r>
        <w:t>duce texture deviation as the appropriate measure of geometric accuracy when simplifying textured meshes.  The texture devi</w:t>
      </w:r>
      <w:r>
        <w:t>a</w:t>
      </w:r>
      <w:r>
        <w:t>tion between a simplified mesh</w:t>
      </w:r>
      <w:r w:rsidR="006913DC">
        <w:t xml:space="preserve"> </w:t>
      </w:r>
      <m:oMath>
        <m:sSup>
          <m:sSupPr>
            <m:ctrlPr>
              <w:rPr>
                <w:rFonts w:ascii="Cambria Math" w:hAnsi="Cambria Math"/>
                <w:i/>
              </w:rPr>
            </m:ctrlPr>
          </m:sSupPr>
          <m:e>
            <m:r>
              <w:rPr>
                <w:rFonts w:ascii="Cambria Math" w:hAnsi="Cambria Math"/>
              </w:rPr>
              <m:t>M</m:t>
            </m:r>
          </m:e>
          <m:sup>
            <m:r>
              <w:rPr>
                <w:rFonts w:ascii="Cambria Math" w:hAnsi="Cambria Math"/>
              </w:rPr>
              <m:t>i</m:t>
            </m:r>
          </m:sup>
        </m:sSup>
      </m:oMath>
      <w:r>
        <w:t xml:space="preserve"> and the original mesh</w:t>
      </w:r>
      <w:r w:rsidR="006913DC">
        <w:t xml:space="preserve"> </w:t>
      </w:r>
      <m:oMath>
        <m:sSup>
          <m:sSupPr>
            <m:ctrlPr>
              <w:rPr>
                <w:rFonts w:ascii="Cambria Math" w:hAnsi="Cambria Math"/>
                <w:i/>
              </w:rPr>
            </m:ctrlPr>
          </m:sSupPr>
          <m:e>
            <m:r>
              <w:rPr>
                <w:rFonts w:ascii="Cambria Math" w:hAnsi="Cambria Math"/>
              </w:rPr>
              <m:t>M</m:t>
            </m:r>
          </m:e>
          <m:sup>
            <m:r>
              <w:rPr>
                <w:rFonts w:ascii="Cambria Math" w:hAnsi="Cambria Math"/>
              </w:rPr>
              <m:t>n</m:t>
            </m:r>
          </m:sup>
        </m:sSup>
      </m:oMath>
      <w:r>
        <w:t xml:space="preserve"> at a point</w:t>
      </w:r>
      <w:r w:rsidR="006913DC">
        <w:t xml:space="preserve"> </w:t>
      </w:r>
      <m:oMath>
        <m:sSup>
          <m:sSupPr>
            <m:ctrlPr>
              <w:rPr>
                <w:rFonts w:ascii="Cambria Math" w:hAnsi="Cambria Math"/>
                <w:i/>
              </w:rPr>
            </m:ctrlPr>
          </m:sSupPr>
          <m:e>
            <m:r>
              <w:rPr>
                <w:rFonts w:ascii="Cambria Math" w:hAnsi="Cambria Math"/>
              </w:rPr>
              <m:t>p</m:t>
            </m:r>
          </m:e>
          <m:sup>
            <m:r>
              <w:rPr>
                <w:rFonts w:ascii="Cambria Math" w:hAnsi="Cambria Math"/>
              </w:rPr>
              <m:t>i</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i</m:t>
            </m:r>
          </m:sup>
        </m:sSup>
      </m:oMath>
      <w:r>
        <w:t xml:space="preserve"> is defined as</w:t>
      </w:r>
      <w:r w:rsidR="006913DC">
        <w:t xml:space="preserve">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p</m:t>
                </m:r>
              </m:e>
              <m:sup>
                <m:r>
                  <w:rPr>
                    <w:rFonts w:ascii="Cambria Math" w:hAnsi="Cambria Math"/>
                  </w:rPr>
                  <m:t>i</m:t>
                </m:r>
              </m:sup>
            </m:sSup>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n</m:t>
                </m:r>
              </m:sup>
            </m:sSup>
          </m:e>
        </m:d>
      </m:oMath>
      <w:r>
        <w:t xml:space="preserve"> where</w:t>
      </w:r>
      <w:r w:rsidR="006913DC">
        <w:t xml:space="preserve"> </w:t>
      </w:r>
      <m:oMath>
        <m:sSup>
          <m:sSupPr>
            <m:ctrlPr>
              <w:rPr>
                <w:rFonts w:ascii="Cambria Math" w:hAnsi="Cambria Math"/>
                <w:i/>
              </w:rPr>
            </m:ctrlPr>
          </m:sSupPr>
          <m:e>
            <m:r>
              <w:rPr>
                <w:rFonts w:ascii="Cambria Math" w:hAnsi="Cambria Math"/>
              </w:rPr>
              <m:t>p</m:t>
            </m:r>
          </m:e>
          <m:sup>
            <m:r>
              <w:rPr>
                <w:rFonts w:ascii="Cambria Math" w:hAnsi="Cambria Math"/>
              </w:rPr>
              <m:t>n</m:t>
            </m:r>
          </m:sup>
        </m:sSup>
      </m:oMath>
      <w:r w:rsidR="006913DC">
        <w:t xml:space="preserve"> </w:t>
      </w:r>
      <w:r>
        <w:t>is the point on</w:t>
      </w:r>
      <w:r w:rsidR="006913DC">
        <w:t> </w:t>
      </w:r>
      <m:oMath>
        <m:sSup>
          <m:sSupPr>
            <m:ctrlPr>
              <w:rPr>
                <w:rFonts w:ascii="Cambria Math" w:hAnsi="Cambria Math"/>
                <w:i/>
              </w:rPr>
            </m:ctrlPr>
          </m:sSupPr>
          <m:e>
            <m:r>
              <w:rPr>
                <w:rFonts w:ascii="Cambria Math" w:hAnsi="Cambria Math"/>
              </w:rPr>
              <m:t>M</m:t>
            </m:r>
          </m:e>
          <m:sup>
            <m:r>
              <w:rPr>
                <w:rFonts w:ascii="Cambria Math" w:hAnsi="Cambria Math"/>
              </w:rPr>
              <m:t>n</m:t>
            </m:r>
          </m:sup>
        </m:sSup>
      </m:oMath>
      <w:r>
        <w:t xml:space="preserve"> with the same parametric location in the texture domain.  Cohen et al. track texture deviation conservatively by storing a bounding error box at each mesh vertex.  They demonstrate results on parametric surfaces already organized into charts.</w:t>
      </w:r>
    </w:p>
    <w:p w:rsidR="00721B98" w:rsidRDefault="00721B98">
      <w:r>
        <w:t>We begin with an unparametrized mesh, and seek to form an atlas parametrization that specifically minimizes texture deviation and stretch over all meshes in a PM.</w:t>
      </w:r>
    </w:p>
    <w:p w:rsidR="00721B98" w:rsidRDefault="00721B98">
      <w:pPr>
        <w:pStyle w:val="Heading1"/>
      </w:pPr>
      <w:bookmarkStart w:id="2" w:name="_Ref503519141"/>
      <w:r>
        <w:t>Texture stretch metric</w:t>
      </w:r>
      <w:bookmarkEnd w:id="2"/>
    </w:p>
    <w:p w:rsidR="00721B98" w:rsidRDefault="00721B98">
      <w:r>
        <w:t>To optimize a parametrization’s ability to balance frequency content everywhere over the surface in every direction, we define a new “texture stretch” metric on triangle meshes.</w:t>
      </w:r>
    </w:p>
    <w:p w:rsidR="00721B98" w:rsidRDefault="00721B98">
      <w:pPr>
        <w:spacing w:line="220" w:lineRule="exact"/>
      </w:pPr>
      <w:r>
        <w:t xml:space="preserve">Given a triangle </w:t>
      </w:r>
      <m:oMath>
        <m:r>
          <w:rPr>
            <w:rFonts w:ascii="Cambria Math" w:hAnsi="Cambria Math"/>
          </w:rPr>
          <m:t>T</m:t>
        </m:r>
      </m:oMath>
      <w:r>
        <w:t xml:space="preserve"> with 2D texture coordinates</w:t>
      </w:r>
      <w:r w:rsidR="00F24651">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oMath>
      <w:r>
        <w:t xml:space="preserve">, </w:t>
      </w: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e>
        </m:d>
      </m:oMath>
      <w:r>
        <w:t>, and corresponding 3D coordinates</w:t>
      </w:r>
      <w:r w:rsidR="00F24651">
        <w:t xml:space="preserve"> </w:t>
      </w:r>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3</m:t>
            </m:r>
          </m:sub>
        </m:sSub>
      </m:oMath>
      <w:r>
        <w:t>, the unique affine mapping</w:t>
      </w:r>
      <w:r w:rsidR="00F24651">
        <w:t xml:space="preserve"> </w:t>
      </w:r>
      <m:oMath>
        <m:r>
          <w:rPr>
            <w:rFonts w:ascii="Cambria Math" w:hAnsi="Cambria Math"/>
          </w:rPr>
          <m:t>S</m:t>
        </m:r>
        <m:d>
          <m:dPr>
            <m:ctrlPr>
              <w:rPr>
                <w:rFonts w:ascii="Cambria Math" w:hAnsi="Cambria Math"/>
                <w:i/>
              </w:rPr>
            </m:ctrlPr>
          </m:dPr>
          <m:e>
            <m:r>
              <w:rPr>
                <w:rFonts w:ascii="Cambria Math" w:hAnsi="Cambria Math"/>
              </w:rPr>
              <m:t>p</m:t>
            </m:r>
          </m:e>
        </m:d>
        <m:r>
          <w:rPr>
            <w:rFonts w:ascii="Cambria Math" w:hAnsi="Cambria Math"/>
          </w:rPr>
          <m:t>=S(s,t)=q</m:t>
        </m:r>
      </m:oMath>
      <w:r w:rsidR="00F24651">
        <w:t xml:space="preserve"> </w:t>
      </w:r>
      <w:r>
        <w:t>is</w:t>
      </w:r>
    </w:p>
    <w:p w:rsidR="00721B98" w:rsidRDefault="00721B98" w:rsidP="00AF2713">
      <w:pPr>
        <w:pStyle w:val="MTDisplayEquation"/>
        <w:spacing w:before="120" w:after="120" w:line="200" w:lineRule="exact"/>
      </w:pPr>
      <w:r>
        <w:tab/>
      </w:r>
      <m:oMath>
        <m:r>
          <w:rPr>
            <w:rFonts w:ascii="Cambria Math" w:hAnsi="Cambria Math"/>
          </w:rPr>
          <m:t>S</m:t>
        </m:r>
        <m:d>
          <m:dPr>
            <m:ctrlPr>
              <w:rPr>
                <w:rFonts w:ascii="Cambria Math" w:hAnsi="Cambria Math"/>
                <w:i/>
              </w:rPr>
            </m:ctrlPr>
          </m:dPr>
          <m:e>
            <m:r>
              <w:rPr>
                <w:rFonts w:ascii="Cambria Math" w:hAnsi="Cambria Math"/>
              </w:rPr>
              <m:t>p</m:t>
            </m:r>
          </m:e>
        </m:d>
        <m:r>
          <w:rPr>
            <w:rFonts w:ascii="Cambria Math" w:hAnsi="Cambria Math"/>
          </w:rPr>
          <m:t>=</m:t>
        </m:r>
        <m:d>
          <m:dPr>
            <m:ctrlPr>
              <w:rPr>
                <w:rFonts w:ascii="Cambria Math" w:hAnsi="Cambria Math"/>
                <w:i/>
              </w:rPr>
            </m:ctrlPr>
          </m:dPr>
          <m:e>
            <m:phant>
              <m:phantPr>
                <m:show m:val="0"/>
                <m:zeroWid m:val="1"/>
                <m:ctrlPr>
                  <w:rPr>
                    <w:rFonts w:ascii="Cambria Math" w:hAnsi="Cambria Math"/>
                    <w:i/>
                  </w:rPr>
                </m:ctrlPr>
              </m:phantPr>
              <m:e>
                <m:sSup>
                  <m:sSupPr>
                    <m:ctrlPr>
                      <w:rPr>
                        <w:rFonts w:ascii="Cambria Math" w:hAnsi="Cambria Math"/>
                        <w:i/>
                      </w:rPr>
                    </m:ctrlPr>
                  </m:sSupPr>
                  <m:e>
                    <m:r>
                      <w:rPr>
                        <w:rFonts w:ascii="Cambria Math" w:hAnsi="Cambria Math"/>
                      </w:rPr>
                      <m:t>A</m:t>
                    </m:r>
                  </m:e>
                  <m:sup>
                    <m:sSup>
                      <m:sSupPr>
                        <m:ctrlPr>
                          <w:rPr>
                            <w:rFonts w:ascii="Cambria Math" w:hAnsi="Cambria Math"/>
                            <w:i/>
                          </w:rPr>
                        </m:ctrlPr>
                      </m:sSupPr>
                      <m:e>
                        <m:r>
                          <w:rPr>
                            <w:rFonts w:ascii="Cambria Math" w:hAnsi="Cambria Math"/>
                          </w:rPr>
                          <m:t>A</m:t>
                        </m:r>
                      </m:e>
                      <m:sup>
                        <m:r>
                          <w:rPr>
                            <w:rFonts w:ascii="Cambria Math" w:hAnsi="Cambria Math"/>
                          </w:rPr>
                          <m:t>A</m:t>
                        </m:r>
                      </m:sup>
                    </m:sSup>
                  </m:sup>
                </m:sSup>
              </m:e>
            </m:phant>
            <m:d>
              <m:dPr>
                <m:begChr m:val="〈"/>
                <m:endChr m:val="〉"/>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e>
            </m:d>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d>
              <m:dPr>
                <m:begChr m:val="〈"/>
                <m:endChr m:val="〉"/>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e>
            </m:d>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d>
              <m:dPr>
                <m:begChr m:val="〈"/>
                <m:endChr m:val="〉"/>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e>
            </m:d>
            <m:sSub>
              <m:sSubPr>
                <m:ctrlPr>
                  <w:rPr>
                    <w:rFonts w:ascii="Cambria Math" w:hAnsi="Cambria Math"/>
                    <w:i/>
                  </w:rPr>
                </m:ctrlPr>
              </m:sSubPr>
              <m:e>
                <m:r>
                  <w:rPr>
                    <w:rFonts w:ascii="Cambria Math" w:hAnsi="Cambria Math"/>
                  </w:rPr>
                  <m:t>q</m:t>
                </m:r>
              </m:e>
              <m:sub>
                <m:r>
                  <w:rPr>
                    <w:rFonts w:ascii="Cambria Math" w:hAnsi="Cambria Math"/>
                  </w:rPr>
                  <m:t>3</m:t>
                </m:r>
              </m:sub>
            </m:sSub>
          </m:e>
        </m:d>
        <m:r>
          <m:rPr>
            <m:lit/>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e>
        </m:d>
      </m:oMath>
    </w:p>
    <w:p w:rsidR="00721B98" w:rsidRDefault="00721B98">
      <w:pPr>
        <w:spacing w:line="200" w:lineRule="exact"/>
      </w:pPr>
      <w:r>
        <w:t>where</w:t>
      </w:r>
      <w:r w:rsidR="00572CF5">
        <w:t xml:space="preserve"> </w:t>
      </w:r>
      <m:oMath>
        <m:d>
          <m:dPr>
            <m:begChr m:val="〈"/>
            <m:endChr m:val="〉"/>
            <m:ctrlPr>
              <w:rPr>
                <w:rFonts w:ascii="Cambria Math" w:hAnsi="Cambria Math"/>
                <w:i/>
              </w:rPr>
            </m:ctrlPr>
          </m:dPr>
          <m:e>
            <m:r>
              <w:rPr>
                <w:rFonts w:ascii="Cambria Math" w:hAnsi="Cambria Math"/>
              </w:rPr>
              <m:t>a,b,c</m:t>
            </m:r>
          </m:e>
        </m:d>
      </m:oMath>
      <w:r>
        <w:t xml:space="preserve"> </w:t>
      </w:r>
      <w:r w:rsidR="00572CF5">
        <w:t>d</w:t>
      </w:r>
      <w:r>
        <w:t xml:space="preserve">enotes area of triangle </w:t>
      </w:r>
      <m:oMath>
        <m:r>
          <w:rPr>
            <w:rFonts w:ascii="Cambria Math" w:hAnsi="Cambria Math"/>
          </w:rPr>
          <m:t>abc</m:t>
        </m:r>
      </m:oMath>
      <w:r>
        <w:t xml:space="preserve">.  Since the mapping is affine, its partial derivatives are constant over </w:t>
      </w:r>
      <m:oMath>
        <m:d>
          <m:dPr>
            <m:ctrlPr>
              <w:rPr>
                <w:rFonts w:ascii="Cambria Math" w:hAnsi="Cambria Math"/>
                <w:i/>
              </w:rPr>
            </m:ctrlPr>
          </m:dPr>
          <m:e>
            <m:r>
              <w:rPr>
                <w:rFonts w:ascii="Cambria Math" w:hAnsi="Cambria Math"/>
              </w:rPr>
              <m:t>s,t</m:t>
            </m:r>
          </m:e>
        </m:d>
      </m:oMath>
      <w:r w:rsidR="00572CF5">
        <w:t xml:space="preserve"> </w:t>
      </w:r>
      <w:r>
        <w:t>and given by</w:t>
      </w:r>
    </w:p>
    <w:p w:rsidR="00572CF5" w:rsidRPr="00572CF5" w:rsidRDefault="00B15E0B" w:rsidP="006464DB">
      <w:pPr>
        <w:pStyle w:val="MTDisplayEquation"/>
        <w:spacing w:before="120" w:line="288" w:lineRule="auto"/>
      </w:pPr>
      <m:oMathPara>
        <m:oMath>
          <m:sSub>
            <m:sSubPr>
              <m:ctrlPr>
                <w:rPr>
                  <w:rFonts w:ascii="Cambria Math" w:hAnsi="Cambria Math"/>
                  <w:i/>
                </w:rPr>
              </m:ctrlPr>
            </m:sSubPr>
            <m:e>
              <m:r>
                <w:rPr>
                  <w:rFonts w:ascii="Cambria Math" w:hAnsi="Cambria Math"/>
                </w:rPr>
                <m:t>S</m:t>
              </m:r>
            </m:e>
            <m:sub>
              <m:r>
                <w:rPr>
                  <w:rFonts w:ascii="Cambria Math" w:hAnsi="Cambria Math"/>
                </w:rPr>
                <m:t>s</m:t>
              </m:r>
            </m:sub>
          </m:sSub>
          <m:r>
            <m:rPr>
              <m:aln/>
            </m:rPr>
            <w:rPr>
              <w:rFonts w:ascii="Cambria Math" w:hAnsi="Cambria Math"/>
            </w:rPr>
            <m:t>=∂S</m:t>
          </m:r>
          <m:r>
            <m:rPr>
              <m:lit/>
            </m:rPr>
            <w:rPr>
              <w:rFonts w:ascii="Cambria Math" w:hAnsi="Cambria Math"/>
            </w:rPr>
            <m:t>/</m:t>
          </m:r>
          <m:r>
            <w:rPr>
              <w:rFonts w:ascii="Cambria Math" w:hAnsi="Cambria Math"/>
            </w:rPr>
            <m:t>∂s=</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3</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3</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e>
          </m:d>
          <m:r>
            <m:rPr>
              <m:lit/>
            </m:rPr>
            <w:rPr>
              <w:rFonts w:ascii="Cambria Math" w:hAnsi="Cambria Math"/>
            </w:rPr>
            <m:t>/</m:t>
          </m:r>
          <m:d>
            <m:dPr>
              <m:ctrlPr>
                <w:rPr>
                  <w:rFonts w:ascii="Cambria Math" w:hAnsi="Cambria Math"/>
                  <w:i/>
                </w:rPr>
              </m:ctrlPr>
            </m:dPr>
            <m:e>
              <m:r>
                <w:rPr>
                  <w:rFonts w:ascii="Cambria Math" w:hAnsi="Cambria Math"/>
                </w:rPr>
                <m:t>2A</m:t>
              </m:r>
            </m:e>
          </m:d>
          <m:r>
            <m:rPr>
              <m:sty m:val="p"/>
            </m:rPr>
            <w:br/>
          </m:r>
        </m:oMath>
        <m:oMath>
          <m:sSub>
            <m:sSubPr>
              <m:ctrlPr>
                <w:rPr>
                  <w:rFonts w:ascii="Cambria Math" w:hAnsi="Cambria Math"/>
                  <w:i/>
                </w:rPr>
              </m:ctrlPr>
            </m:sSubPr>
            <m:e>
              <m:r>
                <w:rPr>
                  <w:rFonts w:ascii="Cambria Math" w:hAnsi="Cambria Math"/>
                </w:rPr>
                <m:t>S</m:t>
              </m:r>
            </m:e>
            <m:sub>
              <m:r>
                <w:rPr>
                  <w:rFonts w:ascii="Cambria Math" w:hAnsi="Cambria Math"/>
                </w:rPr>
                <m:t>t</m:t>
              </m:r>
            </m:sub>
          </m:sSub>
          <m:r>
            <m:rPr>
              <m:aln/>
            </m:rPr>
            <w:rPr>
              <w:rFonts w:ascii="Cambria Math" w:hAnsi="Cambria Math"/>
            </w:rPr>
            <m:t>=∂S</m:t>
          </m:r>
          <m:r>
            <m:rPr>
              <m:lit/>
            </m:rPr>
            <w:rPr>
              <w:rFonts w:ascii="Cambria Math" w:hAnsi="Cambria Math"/>
            </w:rPr>
            <m:t>/</m:t>
          </m:r>
          <m:r>
            <w:rPr>
              <w:rFonts w:ascii="Cambria Math" w:hAnsi="Cambria Math"/>
            </w:rPr>
            <m:t>∂t=</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3</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3</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e>
              </m:d>
            </m:e>
          </m:d>
          <m:r>
            <m:rPr>
              <m:lit/>
            </m:rPr>
            <w:rPr>
              <w:rFonts w:ascii="Cambria Math" w:hAnsi="Cambria Math"/>
            </w:rPr>
            <m:t>/</m:t>
          </m:r>
          <m:d>
            <m:dPr>
              <m:ctrlPr>
                <w:rPr>
                  <w:rFonts w:ascii="Cambria Math" w:hAnsi="Cambria Math"/>
                  <w:i/>
                </w:rPr>
              </m:ctrlPr>
            </m:dPr>
            <m:e>
              <m:r>
                <w:rPr>
                  <w:rFonts w:ascii="Cambria Math" w:hAnsi="Cambria Math"/>
                </w:rPr>
                <m:t>2A</m:t>
              </m:r>
            </m:e>
          </m:d>
        </m:oMath>
      </m:oMathPara>
    </w:p>
    <w:p w:rsidR="00721B98" w:rsidRDefault="00AF2713" w:rsidP="006464DB">
      <w:pPr>
        <w:pStyle w:val="MTDisplayEquation"/>
        <w:spacing w:before="80" w:after="120" w:line="200" w:lineRule="exact"/>
      </w:pPr>
      <w:r>
        <w:t xml:space="preserve"> </w:t>
      </w:r>
      <m:oMath>
        <m:r>
          <w:rPr>
            <w:rFonts w:ascii="Cambria Math" w:hAnsi="Cambria Math"/>
          </w:rPr>
          <m:t>A=</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e>
        </m:d>
        <m:r>
          <w:rPr>
            <w:rFonts w:ascii="Cambria Math" w:hAnsi="Cambria Math"/>
          </w:rPr>
          <m:t>=</m:t>
        </m:r>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e>
            </m:d>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e>
            </m:d>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e>
            </m:d>
          </m:e>
        </m:d>
        <m:r>
          <m:rPr>
            <m:lit/>
          </m:rPr>
          <w:rPr>
            <w:rFonts w:ascii="Cambria Math" w:hAnsi="Cambria Math"/>
          </w:rPr>
          <m:t>/</m:t>
        </m:r>
        <m:r>
          <w:rPr>
            <w:rFonts w:ascii="Cambria Math" w:hAnsi="Cambria Math"/>
          </w:rPr>
          <m:t>2 .</m:t>
        </m:r>
      </m:oMath>
    </w:p>
    <w:p w:rsidR="00721B98" w:rsidRDefault="00721B98" w:rsidP="00AF2713">
      <w:pPr>
        <w:spacing w:before="160" w:line="200" w:lineRule="exact"/>
      </w:pPr>
      <w:r>
        <w:t>The larger and smaller singular values of the Jacobian</w:t>
      </w:r>
      <w:r w:rsidR="00572CF5">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m:t>
                </m:r>
              </m:sub>
            </m:sSub>
          </m:e>
        </m:d>
      </m:oMath>
      <w:r>
        <w:t xml:space="preserve"> are given respectively by</w:t>
      </w:r>
    </w:p>
    <w:p w:rsidR="00721B98" w:rsidRDefault="00572CF5" w:rsidP="00AF2713">
      <w:pPr>
        <w:pStyle w:val="MTDisplayEquation"/>
        <w:spacing w:before="120" w:after="120"/>
        <w:jc w:val="center"/>
      </w:pPr>
      <m:oMathPara>
        <m:oMath>
          <m:r>
            <m:rPr>
              <m:sty m:val="p"/>
            </m:rPr>
            <w:rPr>
              <w:rFonts w:ascii="Cambria Math" w:hAnsi="Cambria Math"/>
            </w:rPr>
            <m:t>Γ</m:t>
          </m:r>
          <m:r>
            <w:rPr>
              <w:rFonts w:ascii="Cambria Math" w:hAnsi="Cambria Math"/>
            </w:rPr>
            <m:t>=</m:t>
          </m:r>
          <m:rad>
            <m:radPr>
              <m:degHide m:val="1"/>
              <m:ctrlPr>
                <w:rPr>
                  <w:rFonts w:ascii="Cambria Math" w:hAnsi="Cambria Math"/>
                  <w:i/>
                </w:rPr>
              </m:ctrlPr>
            </m:radPr>
            <m:deg/>
            <m:e>
              <m:d>
                <m:dPr>
                  <m:ctrlPr>
                    <w:rPr>
                      <w:rFonts w:ascii="Cambria Math" w:hAnsi="Cambria Math"/>
                      <w:i/>
                    </w:rPr>
                  </m:ctrlPr>
                </m:dPr>
                <m:e>
                  <m:d>
                    <m:dPr>
                      <m:ctrlPr>
                        <w:rPr>
                          <w:rFonts w:ascii="Cambria Math" w:hAnsi="Cambria Math"/>
                          <w:i/>
                        </w:rPr>
                      </m:ctrlPr>
                    </m:dPr>
                    <m:e>
                      <m:r>
                        <w:rPr>
                          <w:rFonts w:ascii="Cambria Math" w:hAnsi="Cambria Math"/>
                        </w:rPr>
                        <m:t>a+c</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a-c</m:t>
                              </m:r>
                            </m:e>
                          </m:d>
                        </m:e>
                        <m:sup>
                          <m:r>
                            <w:rPr>
                              <w:rFonts w:ascii="Cambria Math" w:hAnsi="Cambria Math"/>
                            </w:rPr>
                            <m:t>2</m:t>
                          </m:r>
                        </m:sup>
                      </m:sSup>
                      <m:r>
                        <w:rPr>
                          <w:rFonts w:ascii="Cambria Math" w:hAnsi="Cambria Math"/>
                        </w:rPr>
                        <m:t>+4</m:t>
                      </m:r>
                      <m:sSup>
                        <m:sSupPr>
                          <m:ctrlPr>
                            <w:rPr>
                              <w:rFonts w:ascii="Cambria Math" w:hAnsi="Cambria Math"/>
                              <w:i/>
                            </w:rPr>
                          </m:ctrlPr>
                        </m:sSupPr>
                        <m:e>
                          <m:r>
                            <w:rPr>
                              <w:rFonts w:ascii="Cambria Math" w:hAnsi="Cambria Math"/>
                            </w:rPr>
                            <m:t>b</m:t>
                          </m:r>
                        </m:e>
                        <m:sup>
                          <m:r>
                            <w:rPr>
                              <w:rFonts w:ascii="Cambria Math" w:hAnsi="Cambria Math"/>
                            </w:rPr>
                            <m:t>2</m:t>
                          </m:r>
                        </m:sup>
                      </m:sSup>
                    </m:e>
                  </m:rad>
                </m:e>
              </m:d>
              <m:r>
                <m:rPr>
                  <m:lit/>
                </m:rPr>
                <w:rPr>
                  <w:rFonts w:ascii="Cambria Math" w:hAnsi="Cambria Math"/>
                </w:rPr>
                <m:t>/</m:t>
              </m:r>
              <m:r>
                <w:rPr>
                  <w:rFonts w:ascii="Cambria Math" w:hAnsi="Cambria Math"/>
                </w:rPr>
                <m:t>2</m:t>
              </m:r>
            </m:e>
          </m:rad>
          <m:r>
            <m:rPr>
              <m:nor/>
            </m:rPr>
            <w:rPr>
              <w:rFonts w:ascii="Cambria Math" w:hAnsi="Cambria Math"/>
            </w:rPr>
            <m:t xml:space="preserve">    max ⁡ singular value</m:t>
          </m:r>
          <m:r>
            <m:rPr>
              <m:sty m:val="p"/>
            </m:rPr>
            <w:rPr>
              <w:rFonts w:ascii="Cambria Math" w:hAnsi="Cambria Math"/>
            </w:rPr>
            <w:br/>
          </m:r>
        </m:oMath>
        <m:oMath>
          <m:r>
            <w:rPr>
              <w:rFonts w:ascii="Cambria Math" w:hAnsi="Cambria Math"/>
            </w:rPr>
            <m:t>γ=</m:t>
          </m:r>
          <m:rad>
            <m:radPr>
              <m:degHide m:val="1"/>
              <m:ctrlPr>
                <w:rPr>
                  <w:rFonts w:ascii="Cambria Math" w:hAnsi="Cambria Math"/>
                  <w:i/>
                </w:rPr>
              </m:ctrlPr>
            </m:radPr>
            <m:deg/>
            <m:e>
              <m:d>
                <m:dPr>
                  <m:ctrlPr>
                    <w:rPr>
                      <w:rFonts w:ascii="Cambria Math" w:hAnsi="Cambria Math"/>
                      <w:i/>
                    </w:rPr>
                  </m:ctrlPr>
                </m:dPr>
                <m:e>
                  <m:d>
                    <m:dPr>
                      <m:ctrlPr>
                        <w:rPr>
                          <w:rFonts w:ascii="Cambria Math" w:hAnsi="Cambria Math"/>
                          <w:i/>
                        </w:rPr>
                      </m:ctrlPr>
                    </m:dPr>
                    <m:e>
                      <m:r>
                        <w:rPr>
                          <w:rFonts w:ascii="Cambria Math" w:hAnsi="Cambria Math"/>
                        </w:rPr>
                        <m:t>a+c</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a-c</m:t>
                              </m:r>
                            </m:e>
                          </m:d>
                        </m:e>
                        <m:sup>
                          <m:r>
                            <w:rPr>
                              <w:rFonts w:ascii="Cambria Math" w:hAnsi="Cambria Math"/>
                            </w:rPr>
                            <m:t>2</m:t>
                          </m:r>
                        </m:sup>
                      </m:sSup>
                      <m:r>
                        <w:rPr>
                          <w:rFonts w:ascii="Cambria Math" w:hAnsi="Cambria Math"/>
                        </w:rPr>
                        <m:t>+4</m:t>
                      </m:r>
                      <m:sSup>
                        <m:sSupPr>
                          <m:ctrlPr>
                            <w:rPr>
                              <w:rFonts w:ascii="Cambria Math" w:hAnsi="Cambria Math"/>
                              <w:i/>
                            </w:rPr>
                          </m:ctrlPr>
                        </m:sSupPr>
                        <m:e>
                          <m:r>
                            <w:rPr>
                              <w:rFonts w:ascii="Cambria Math" w:hAnsi="Cambria Math"/>
                            </w:rPr>
                            <m:t>b</m:t>
                          </m:r>
                        </m:e>
                        <m:sup>
                          <m:r>
                            <w:rPr>
                              <w:rFonts w:ascii="Cambria Math" w:hAnsi="Cambria Math"/>
                            </w:rPr>
                            <m:t>2</m:t>
                          </m:r>
                        </m:sup>
                      </m:sSup>
                    </m:e>
                  </m:rad>
                </m:e>
              </m:d>
              <m:r>
                <m:rPr>
                  <m:lit/>
                </m:rPr>
                <w:rPr>
                  <w:rFonts w:ascii="Cambria Math" w:hAnsi="Cambria Math"/>
                </w:rPr>
                <m:t>/</m:t>
              </m:r>
              <m:r>
                <w:rPr>
                  <w:rFonts w:ascii="Cambria Math" w:hAnsi="Cambria Math"/>
                </w:rPr>
                <m:t>2</m:t>
              </m:r>
            </m:e>
          </m:rad>
          <m:r>
            <m:rPr>
              <m:nor/>
            </m:rPr>
            <w:rPr>
              <w:rFonts w:ascii="Cambria Math" w:hAnsi="Cambria Math"/>
            </w:rPr>
            <m:t xml:space="preserve">    min ⁡  singular value</m:t>
          </m:r>
        </m:oMath>
      </m:oMathPara>
    </w:p>
    <w:p w:rsidR="00721B98" w:rsidRDefault="00721B98">
      <w:pPr>
        <w:spacing w:line="200" w:lineRule="exact"/>
      </w:pPr>
      <w:r>
        <w:t>where</w:t>
      </w:r>
      <w:r w:rsidR="00572CF5">
        <w:t xml:space="preserve"> </w:t>
      </w:r>
      <m:oMath>
        <m:r>
          <w:rPr>
            <w:rFonts w:ascii="Cambria Math" w:hAnsi="Cambria Math"/>
          </w:rPr>
          <m:t>a=</m:t>
        </m:r>
        <m:sSub>
          <m:sSubPr>
            <m:ctrlPr>
              <w:rPr>
                <w:rFonts w:ascii="Cambria Math" w:hAnsi="Cambria Math"/>
                <w:i/>
              </w:rPr>
            </m:ctrlPr>
          </m:sSubPr>
          <m:e>
            <m:r>
              <w:rPr>
                <w:rFonts w:ascii="Cambria Math" w:hAnsi="Cambria Math"/>
              </w:rPr>
              <m:t>S</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s</m:t>
            </m:r>
          </m:sub>
        </m:sSub>
      </m:oMath>
      <w:r w:rsidR="00572CF5">
        <w:t xml:space="preserve">, </w:t>
      </w:r>
      <m:oMath>
        <m:r>
          <w:rPr>
            <w:rFonts w:ascii="Cambria Math" w:hAnsi="Cambria Math"/>
          </w:rPr>
          <m:t>b=</m:t>
        </m:r>
        <m:sSub>
          <m:sSubPr>
            <m:ctrlPr>
              <w:rPr>
                <w:rFonts w:ascii="Cambria Math" w:hAnsi="Cambria Math"/>
                <w:i/>
              </w:rPr>
            </m:ctrlPr>
          </m:sSubPr>
          <m:e>
            <m:r>
              <w:rPr>
                <w:rFonts w:ascii="Cambria Math" w:hAnsi="Cambria Math"/>
              </w:rPr>
              <m:t>S</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m:t>
            </m:r>
          </m:sub>
        </m:sSub>
      </m:oMath>
      <w:r w:rsidR="00572CF5">
        <w:t>,</w:t>
      </w:r>
      <w:r>
        <w:t xml:space="preserve"> and</w:t>
      </w:r>
      <w:r w:rsidR="00572CF5">
        <w:t xml:space="preserve"> </w:t>
      </w:r>
      <m:oMath>
        <m:r>
          <w:rPr>
            <w:rFonts w:ascii="Cambria Math" w:hAnsi="Cambria Math"/>
          </w:rPr>
          <m:t>c=</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t</m:t>
            </m:r>
          </m:sub>
        </m:sSub>
      </m:oMath>
      <w:r>
        <w:t>.  The singular values</w:t>
      </w:r>
      <w:r w:rsidR="00572CF5">
        <w:t xml:space="preserve"> </w:t>
      </w:r>
      <m:oMath>
        <m:r>
          <m:rPr>
            <m:sty m:val="p"/>
          </m:rPr>
          <w:rPr>
            <w:rFonts w:ascii="Cambria Math" w:hAnsi="Cambria Math"/>
          </w:rPr>
          <m:t>Γ</m:t>
        </m:r>
      </m:oMath>
      <w:r>
        <w:t xml:space="preserve"> and</w:t>
      </w:r>
      <w:r w:rsidR="00572CF5">
        <w:t xml:space="preserve"> </w:t>
      </w:r>
      <m:oMath>
        <m:r>
          <w:rPr>
            <w:rFonts w:ascii="Cambria Math" w:hAnsi="Cambria Math"/>
          </w:rPr>
          <m:t>γ</m:t>
        </m:r>
      </m:oMath>
      <w:r>
        <w:t xml:space="preserve"> represent the largest and smallest length obtained when mapping unit-length vectors from the texture domain to the surface, i.e. the largest and smallest local “stretch”.  We define two stretch norms over triangle </w:t>
      </w:r>
      <m:oMath>
        <m:r>
          <w:rPr>
            <w:rFonts w:ascii="Cambria Math" w:hAnsi="Cambria Math"/>
          </w:rPr>
          <m:t>T</m:t>
        </m:r>
      </m:oMath>
      <w:r>
        <w:rPr>
          <w:i/>
          <w:iCs/>
        </w:rPr>
        <w:t xml:space="preserve"> </w:t>
      </w:r>
      <w:r>
        <w:t>:</w:t>
      </w:r>
    </w:p>
    <w:p w:rsidR="00721B98" w:rsidRPr="00AF2713" w:rsidRDefault="00721B98" w:rsidP="00AF2713">
      <w:pPr>
        <w:pStyle w:val="MTDisplayEquation"/>
        <w:spacing w:before="120" w:after="120"/>
        <w:rPr>
          <w:i/>
        </w:rPr>
      </w:pPr>
      <w:r w:rsidRPr="00AF2713">
        <w:rPr>
          <w:i/>
        </w:rPr>
        <w:tab/>
      </w:r>
      <m:oMath>
        <m:sSup>
          <m:sSupPr>
            <m:ctrlPr>
              <w:rPr>
                <w:rFonts w:ascii="Cambria Math" w:hAnsi="Cambria Math"/>
                <w:i/>
              </w:rPr>
            </m:ctrlPr>
          </m:sSupPr>
          <m:e>
            <m:r>
              <w:rPr>
                <w:rFonts w:ascii="Cambria Math" w:hAnsi="Cambria Math"/>
              </w:rPr>
              <m:t>L</m:t>
            </m:r>
          </m:e>
          <m:sup>
            <m:r>
              <w:rPr>
                <w:rFonts w:ascii="Cambria Math" w:hAnsi="Cambria Math"/>
              </w:rPr>
              <m:t>2</m:t>
            </m:r>
          </m:sup>
        </m:sSup>
        <m:d>
          <m:dPr>
            <m:ctrlPr>
              <w:rPr>
                <w:rFonts w:ascii="Cambria Math" w:hAnsi="Cambria Math"/>
                <w:i/>
              </w:rPr>
            </m:ctrlPr>
          </m:dPr>
          <m:e>
            <m:r>
              <w:rPr>
                <w:rFonts w:ascii="Cambria Math" w:hAnsi="Cambria Math"/>
              </w:rPr>
              <m:t>T</m:t>
            </m:r>
          </m:e>
        </m:d>
        <m:r>
          <w:rPr>
            <w:rFonts w:ascii="Cambria Math" w:hAnsi="Cambria Math"/>
          </w:rPr>
          <m:t>=</m:t>
        </m:r>
        <m:rad>
          <m:radPr>
            <m:degHide m:val="1"/>
            <m:ctrlPr>
              <w:rPr>
                <w:rFonts w:ascii="Cambria Math" w:hAnsi="Cambria Math"/>
                <w:i/>
              </w:rPr>
            </m:ctrlPr>
          </m:radPr>
          <m:deg/>
          <m:e>
            <m:d>
              <m:dPr>
                <m:ctrlPr>
                  <w:rPr>
                    <w:rFonts w:ascii="Cambria Math" w:hAnsi="Cambria Math"/>
                    <w:i/>
                  </w:rPr>
                </m:ctrlPr>
              </m:dPr>
              <m:e>
                <m:sSup>
                  <m:sSupPr>
                    <m:ctrlPr>
                      <w:rPr>
                        <w:rFonts w:ascii="Cambria Math" w:hAnsi="Cambria Math"/>
                        <w:i/>
                      </w:rPr>
                    </m:ctrlPr>
                  </m:sSupPr>
                  <m:e>
                    <m:r>
                      <w:rPr>
                        <w:rFonts w:ascii="Cambria Math" w:hAnsi="Cambria Math"/>
                      </w:rPr>
                      <m:t>Γ</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γ</m:t>
                    </m:r>
                  </m:e>
                  <m:sup>
                    <m:r>
                      <w:rPr>
                        <w:rFonts w:ascii="Cambria Math" w:hAnsi="Cambria Math"/>
                      </w:rPr>
                      <m:t>2</m:t>
                    </m:r>
                  </m:sup>
                </m:sSup>
              </m:e>
            </m:d>
            <m:r>
              <m:rPr>
                <m:lit/>
              </m:rPr>
              <w:rPr>
                <w:rFonts w:ascii="Cambria Math" w:hAnsi="Cambria Math"/>
              </w:rPr>
              <m:t>/</m:t>
            </m:r>
            <m:r>
              <w:rPr>
                <w:rFonts w:ascii="Cambria Math" w:hAnsi="Cambria Math"/>
              </w:rPr>
              <m:t>2</m:t>
            </m:r>
          </m:e>
        </m:rad>
        <m:r>
          <w:rPr>
            <w:rFonts w:ascii="Cambria Math" w:hAnsi="Cambria Math"/>
          </w:rPr>
          <m:t>=</m:t>
        </m:r>
        <m:rad>
          <m:radPr>
            <m:degHide m:val="1"/>
            <m:ctrlPr>
              <w:rPr>
                <w:rFonts w:ascii="Cambria Math" w:hAnsi="Cambria Math"/>
                <w:i/>
              </w:rPr>
            </m:ctrlPr>
          </m:radPr>
          <m:deg/>
          <m:e>
            <m:d>
              <m:dPr>
                <m:ctrlPr>
                  <w:rPr>
                    <w:rFonts w:ascii="Cambria Math" w:hAnsi="Cambria Math"/>
                    <w:i/>
                  </w:rPr>
                </m:ctrlPr>
              </m:dPr>
              <m:e>
                <m:r>
                  <w:rPr>
                    <w:rFonts w:ascii="Cambria Math" w:hAnsi="Cambria Math"/>
                  </w:rPr>
                  <m:t>a+c</m:t>
                </m:r>
              </m:e>
            </m:d>
            <m:r>
              <m:rPr>
                <m:lit/>
              </m:rPr>
              <w:rPr>
                <w:rFonts w:ascii="Cambria Math" w:hAnsi="Cambria Math"/>
              </w:rPr>
              <m:t>/</m:t>
            </m:r>
            <m:r>
              <w:rPr>
                <w:rFonts w:ascii="Cambria Math" w:hAnsi="Cambria Math"/>
              </w:rPr>
              <m:t>2</m:t>
            </m:r>
          </m:e>
        </m:rad>
      </m:oMath>
      <w:r w:rsidR="00AF2713" w:rsidRPr="00AF2713">
        <w:rPr>
          <w:i/>
        </w:rPr>
        <w:t xml:space="preserve">,    </w:t>
      </w:r>
      <m:oMath>
        <m:sSup>
          <m:sSupPr>
            <m:ctrlPr>
              <w:rPr>
                <w:rFonts w:ascii="Cambria Math" w:hAnsi="Cambria Math"/>
                <w:i/>
              </w:rPr>
            </m:ctrlPr>
          </m:sSupPr>
          <m:e>
            <m:r>
              <w:rPr>
                <w:rFonts w:ascii="Cambria Math" w:hAnsi="Cambria Math"/>
              </w:rPr>
              <m:t>L</m:t>
            </m:r>
          </m:e>
          <m:sup>
            <m:r>
              <w:rPr>
                <w:rFonts w:ascii="Cambria Math" w:hAnsi="Cambria Math"/>
              </w:rPr>
              <m:t>∞</m:t>
            </m:r>
          </m:sup>
        </m:sSup>
        <m:d>
          <m:dPr>
            <m:ctrlPr>
              <w:rPr>
                <w:rFonts w:ascii="Cambria Math" w:hAnsi="Cambria Math"/>
                <w:i/>
              </w:rPr>
            </m:ctrlPr>
          </m:dPr>
          <m:e>
            <m:r>
              <w:rPr>
                <w:rFonts w:ascii="Cambria Math" w:hAnsi="Cambria Math"/>
              </w:rPr>
              <m:t>T</m:t>
            </m:r>
          </m:e>
        </m:d>
        <m:r>
          <w:rPr>
            <w:rFonts w:ascii="Cambria Math" w:hAnsi="Cambria Math"/>
          </w:rPr>
          <m:t>=Γ</m:t>
        </m:r>
      </m:oMath>
      <w:r w:rsidRPr="00AF2713">
        <w:rPr>
          <w:i/>
        </w:rPr>
        <w:t>.</w:t>
      </w:r>
    </w:p>
    <w:p w:rsidR="00721B98" w:rsidRDefault="00721B98" w:rsidP="00AF2713">
      <w:pPr>
        <w:spacing w:before="160" w:line="200" w:lineRule="exact"/>
      </w:pPr>
      <w:r>
        <w:t>The norm</w:t>
      </w:r>
      <w:r w:rsidR="00AF2713">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d>
          <m:dPr>
            <m:ctrlPr>
              <w:rPr>
                <w:rFonts w:ascii="Cambria Math" w:hAnsi="Cambria Math"/>
                <w:i/>
              </w:rPr>
            </m:ctrlPr>
          </m:dPr>
          <m:e>
            <m:r>
              <w:rPr>
                <w:rFonts w:ascii="Cambria Math" w:hAnsi="Cambria Math"/>
              </w:rPr>
              <m:t>T</m:t>
            </m:r>
          </m:e>
        </m:d>
      </m:oMath>
      <w:r>
        <w:t xml:space="preserve"> corresponds to the root-mean-square stretch over all directions in the domain, and the worst-case norm</w:t>
      </w:r>
      <w:r w:rsidR="00AF2713">
        <w:t xml:space="preserve"> </w:t>
      </w:r>
      <m:oMath>
        <m:sSup>
          <m:sSupPr>
            <m:ctrlPr>
              <w:rPr>
                <w:rFonts w:ascii="Cambria Math" w:hAnsi="Cambria Math"/>
                <w:i/>
              </w:rPr>
            </m:ctrlPr>
          </m:sSupPr>
          <m:e>
            <m:r>
              <w:rPr>
                <w:rFonts w:ascii="Cambria Math" w:hAnsi="Cambria Math"/>
              </w:rPr>
              <m:t>L</m:t>
            </m:r>
          </m:e>
          <m:sup>
            <m:r>
              <w:rPr>
                <w:rFonts w:ascii="Cambria Math" w:hAnsi="Cambria Math"/>
              </w:rPr>
              <m:t>∞</m:t>
            </m:r>
          </m:sup>
        </m:sSup>
        <m:d>
          <m:dPr>
            <m:ctrlPr>
              <w:rPr>
                <w:rFonts w:ascii="Cambria Math" w:hAnsi="Cambria Math"/>
                <w:i/>
              </w:rPr>
            </m:ctrlPr>
          </m:dPr>
          <m:e>
            <m:r>
              <w:rPr>
                <w:rFonts w:ascii="Cambria Math" w:hAnsi="Cambria Math"/>
              </w:rPr>
              <m:t>T</m:t>
            </m:r>
          </m:e>
        </m:d>
      </m:oMath>
      <w:r>
        <w:t xml:space="preserve"> is the greatest stretch, i.e. the maximum singular value.  Note that both</w:t>
      </w:r>
      <w:r w:rsidR="00AF2713">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d>
          <m:dPr>
            <m:ctrlPr>
              <w:rPr>
                <w:rFonts w:ascii="Cambria Math" w:hAnsi="Cambria Math"/>
                <w:i/>
              </w:rPr>
            </m:ctrlPr>
          </m:dPr>
          <m:e>
            <m:r>
              <w:rPr>
                <w:rFonts w:ascii="Cambria Math" w:hAnsi="Cambria Math"/>
              </w:rPr>
              <m:t>T</m:t>
            </m:r>
          </m:e>
        </m:d>
      </m:oMath>
      <w:r>
        <w:t xml:space="preserve"> and </w:t>
      </w:r>
      <m:oMath>
        <m:sSup>
          <m:sSupPr>
            <m:ctrlPr>
              <w:rPr>
                <w:rFonts w:ascii="Cambria Math" w:hAnsi="Cambria Math"/>
                <w:i/>
              </w:rPr>
            </m:ctrlPr>
          </m:sSupPr>
          <m:e>
            <m:r>
              <w:rPr>
                <w:rFonts w:ascii="Cambria Math" w:hAnsi="Cambria Math"/>
              </w:rPr>
              <m:t>L</m:t>
            </m:r>
          </m:e>
          <m:sup>
            <m:r>
              <w:rPr>
                <w:rFonts w:ascii="Cambria Math" w:hAnsi="Cambria Math"/>
              </w:rPr>
              <m:t>∞</m:t>
            </m:r>
          </m:sup>
        </m:sSup>
        <m:d>
          <m:dPr>
            <m:ctrlPr>
              <w:rPr>
                <w:rFonts w:ascii="Cambria Math" w:hAnsi="Cambria Math"/>
                <w:i/>
              </w:rPr>
            </m:ctrlPr>
          </m:dPr>
          <m:e>
            <m:r>
              <w:rPr>
                <w:rFonts w:ascii="Cambria Math" w:hAnsi="Cambria Math"/>
              </w:rPr>
              <m:t>T</m:t>
            </m:r>
          </m:e>
        </m:d>
      </m:oMath>
      <w:r w:rsidR="00AF2713">
        <w:t xml:space="preserve"> </w:t>
      </w:r>
      <w:r>
        <w:t xml:space="preserve">increase to infinity as the parametrization of </w:t>
      </w:r>
      <m:oMath>
        <m:r>
          <w:rPr>
            <w:rFonts w:ascii="Cambria Math" w:hAnsi="Cambria Math"/>
          </w:rPr>
          <m:t>T</m:t>
        </m:r>
      </m:oMath>
      <w:r>
        <w:t xml:space="preserve"> becomes degenerate, since its parametric area </w:t>
      </w:r>
      <m:oMath>
        <m:r>
          <w:rPr>
            <w:rFonts w:ascii="Cambria Math" w:hAnsi="Cambria Math"/>
          </w:rPr>
          <m:t>A</m:t>
        </m:r>
      </m:oMath>
      <w:r>
        <w:t xml:space="preserve"> drops to zero.  If the triangle </w:t>
      </w:r>
      <m:oMath>
        <m:r>
          <w:rPr>
            <w:rFonts w:ascii="Cambria Math" w:hAnsi="Cambria Math"/>
          </w:rPr>
          <m:t>T</m:t>
        </m:r>
      </m:oMath>
      <w:r>
        <w:t xml:space="preserve"> flips parametrically (i.e. if </w:t>
      </w:r>
      <m:oMath>
        <m:r>
          <w:rPr>
            <w:rFonts w:ascii="Cambria Math" w:hAnsi="Cambria Math"/>
          </w:rPr>
          <m:t>A</m:t>
        </m:r>
      </m:oMath>
      <w:r>
        <w:t xml:space="preserve"> becomes negative), we define both</w:t>
      </w:r>
      <w:r w:rsidR="00AF2713">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d>
          <m:dPr>
            <m:ctrlPr>
              <w:rPr>
                <w:rFonts w:ascii="Cambria Math" w:hAnsi="Cambria Math"/>
                <w:i/>
              </w:rPr>
            </m:ctrlPr>
          </m:dPr>
          <m:e>
            <m:r>
              <w:rPr>
                <w:rFonts w:ascii="Cambria Math" w:hAnsi="Cambria Math"/>
              </w:rPr>
              <m:t>T</m:t>
            </m:r>
          </m:e>
        </m:d>
      </m:oMath>
      <w:r w:rsidR="00AF2713">
        <w:t xml:space="preserve"> and </w:t>
      </w:r>
      <m:oMath>
        <m:sSup>
          <m:sSupPr>
            <m:ctrlPr>
              <w:rPr>
                <w:rFonts w:ascii="Cambria Math" w:hAnsi="Cambria Math"/>
                <w:i/>
              </w:rPr>
            </m:ctrlPr>
          </m:sSupPr>
          <m:e>
            <m:r>
              <w:rPr>
                <w:rFonts w:ascii="Cambria Math" w:hAnsi="Cambria Math"/>
              </w:rPr>
              <m:t>L</m:t>
            </m:r>
          </m:e>
          <m:sup>
            <m:r>
              <w:rPr>
                <w:rFonts w:ascii="Cambria Math" w:hAnsi="Cambria Math"/>
              </w:rPr>
              <m:t>∞</m:t>
            </m:r>
          </m:sup>
        </m:sSup>
        <m:d>
          <m:dPr>
            <m:ctrlPr>
              <w:rPr>
                <w:rFonts w:ascii="Cambria Math" w:hAnsi="Cambria Math"/>
                <w:i/>
              </w:rPr>
            </m:ctrlPr>
          </m:dPr>
          <m:e>
            <m:r>
              <w:rPr>
                <w:rFonts w:ascii="Cambria Math" w:hAnsi="Cambria Math"/>
              </w:rPr>
              <m:t>T</m:t>
            </m:r>
          </m:e>
        </m:d>
      </m:oMath>
      <w:r>
        <w:t xml:space="preserve"> to remain infinite.</w:t>
      </w:r>
    </w:p>
    <w:tbl>
      <w:tblPr>
        <w:tblpPr w:vertAnchor="page" w:horzAnchor="margin" w:tblpXSpec="right" w:tblpY="1085"/>
        <w:tblOverlap w:val="never"/>
        <w:tblW w:w="5000" w:type="pct"/>
        <w:tblLook w:val="0000" w:firstRow="0" w:lastRow="0" w:firstColumn="0" w:lastColumn="0" w:noHBand="0" w:noVBand="0"/>
      </w:tblPr>
      <w:tblGrid>
        <w:gridCol w:w="1758"/>
        <w:gridCol w:w="1892"/>
        <w:gridCol w:w="1145"/>
      </w:tblGrid>
      <w:tr w:rsidR="00721B98">
        <w:trPr>
          <w:trHeight w:val="450"/>
        </w:trPr>
        <w:tc>
          <w:tcPr>
            <w:tcW w:w="1833" w:type="pct"/>
            <w:tcMar>
              <w:left w:w="0" w:type="dxa"/>
              <w:right w:w="0" w:type="dxa"/>
            </w:tcMar>
          </w:tcPr>
          <w:p w:rsidR="00721B98" w:rsidRDefault="0018191B">
            <w:pPr>
              <w:keepNext/>
              <w:keepLines/>
              <w:spacing w:after="0"/>
              <w:jc w:val="left"/>
            </w:pPr>
            <w:r>
              <w:rPr>
                <w:noProof/>
              </w:rPr>
              <w:drawing>
                <wp:inline distT="0" distB="0" distL="0" distR="0">
                  <wp:extent cx="1045845" cy="1045845"/>
                  <wp:effectExtent l="0" t="0" r="0" b="0"/>
                  <wp:docPr id="16" name="Picture 16"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5845" cy="1045845"/>
                          </a:xfrm>
                          <a:prstGeom prst="rect">
                            <a:avLst/>
                          </a:prstGeom>
                          <a:noFill/>
                          <a:ln>
                            <a:noFill/>
                          </a:ln>
                        </pic:spPr>
                      </pic:pic>
                    </a:graphicData>
                  </a:graphic>
                </wp:inline>
              </w:drawing>
            </w:r>
          </w:p>
        </w:tc>
        <w:tc>
          <w:tcPr>
            <w:tcW w:w="1973" w:type="pct"/>
            <w:tcMar>
              <w:left w:w="0" w:type="dxa"/>
              <w:right w:w="0" w:type="dxa"/>
            </w:tcMar>
          </w:tcPr>
          <w:p w:rsidR="00721B98" w:rsidRDefault="0018191B">
            <w:pPr>
              <w:keepNext/>
              <w:keepLines/>
              <w:spacing w:after="0"/>
              <w:jc w:val="center"/>
            </w:pPr>
            <w:r>
              <w:rPr>
                <w:noProof/>
              </w:rPr>
              <w:drawing>
                <wp:inline distT="0" distB="0" distL="0" distR="0">
                  <wp:extent cx="1122045" cy="1045845"/>
                  <wp:effectExtent l="0" t="0" r="0" b="0"/>
                  <wp:docPr id="17" name="Picture 17"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2"/>
                          <pic:cNvPicPr>
                            <a:picLocks noChangeAspect="1" noChangeArrowheads="1"/>
                          </pic:cNvPicPr>
                        </pic:nvPicPr>
                        <pic:blipFill>
                          <a:blip r:embed="rId12">
                            <a:extLst>
                              <a:ext uri="{28A0092B-C50C-407E-A947-70E740481C1C}">
                                <a14:useLocalDpi xmlns:a14="http://schemas.microsoft.com/office/drawing/2010/main" val="0"/>
                              </a:ext>
                            </a:extLst>
                          </a:blip>
                          <a:srcRect l="7680" r="7680" b="21120"/>
                          <a:stretch>
                            <a:fillRect/>
                          </a:stretch>
                        </pic:blipFill>
                        <pic:spPr bwMode="auto">
                          <a:xfrm>
                            <a:off x="0" y="0"/>
                            <a:ext cx="1122045" cy="1045845"/>
                          </a:xfrm>
                          <a:prstGeom prst="rect">
                            <a:avLst/>
                          </a:prstGeom>
                          <a:noFill/>
                          <a:ln>
                            <a:noFill/>
                          </a:ln>
                        </pic:spPr>
                      </pic:pic>
                    </a:graphicData>
                  </a:graphic>
                </wp:inline>
              </w:drawing>
            </w:r>
          </w:p>
        </w:tc>
        <w:tc>
          <w:tcPr>
            <w:tcW w:w="1194" w:type="pct"/>
            <w:tcMar>
              <w:left w:w="0" w:type="dxa"/>
              <w:right w:w="0" w:type="dxa"/>
            </w:tcMar>
          </w:tcPr>
          <w:p w:rsidR="00721B98" w:rsidRDefault="0018191B">
            <w:pPr>
              <w:keepNext/>
              <w:keepLines/>
              <w:spacing w:after="0"/>
              <w:jc w:val="right"/>
            </w:pPr>
            <w:r>
              <w:rPr>
                <w:noProof/>
              </w:rPr>
              <w:drawing>
                <wp:inline distT="0" distB="0" distL="0" distR="0">
                  <wp:extent cx="574675" cy="1045845"/>
                  <wp:effectExtent l="0" t="0" r="0" b="0"/>
                  <wp:docPr id="18" name="Picture 18"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2"/>
                          <pic:cNvPicPr>
                            <a:picLocks noChangeAspect="1" noChangeArrowheads="1"/>
                          </pic:cNvPicPr>
                        </pic:nvPicPr>
                        <pic:blipFill>
                          <a:blip r:embed="rId12">
                            <a:lum bright="6000"/>
                            <a:extLst>
                              <a:ext uri="{28A0092B-C50C-407E-A947-70E740481C1C}">
                                <a14:useLocalDpi xmlns:a14="http://schemas.microsoft.com/office/drawing/2010/main" val="0"/>
                              </a:ext>
                            </a:extLst>
                          </a:blip>
                          <a:srcRect l="64128" t="2496" r="11520" b="53185"/>
                          <a:stretch>
                            <a:fillRect/>
                          </a:stretch>
                        </pic:blipFill>
                        <pic:spPr bwMode="auto">
                          <a:xfrm>
                            <a:off x="0" y="0"/>
                            <a:ext cx="574675" cy="1045845"/>
                          </a:xfrm>
                          <a:prstGeom prst="rect">
                            <a:avLst/>
                          </a:prstGeom>
                          <a:noFill/>
                          <a:ln>
                            <a:noFill/>
                          </a:ln>
                        </pic:spPr>
                      </pic:pic>
                    </a:graphicData>
                  </a:graphic>
                </wp:inline>
              </w:drawing>
            </w:r>
          </w:p>
        </w:tc>
      </w:tr>
      <w:tr w:rsidR="00721B98">
        <w:trPr>
          <w:trHeight w:val="171"/>
        </w:trPr>
        <w:tc>
          <w:tcPr>
            <w:tcW w:w="5000" w:type="pct"/>
            <w:gridSpan w:val="3"/>
            <w:tcMar>
              <w:left w:w="0" w:type="dxa"/>
              <w:right w:w="0" w:type="dxa"/>
            </w:tcMar>
          </w:tcPr>
          <w:p w:rsidR="00721B98" w:rsidRDefault="00721B98">
            <w:pPr>
              <w:keepNext/>
              <w:keepLines/>
              <w:spacing w:after="0"/>
              <w:jc w:val="center"/>
            </w:pPr>
            <w:r>
              <w:t>(a) exact</w:t>
            </w:r>
          </w:p>
        </w:tc>
      </w:tr>
      <w:tr w:rsidR="00721B98">
        <w:trPr>
          <w:trHeight w:val="530"/>
        </w:trPr>
        <w:tc>
          <w:tcPr>
            <w:tcW w:w="1833" w:type="pct"/>
            <w:tcMar>
              <w:left w:w="0" w:type="dxa"/>
              <w:right w:w="0" w:type="dxa"/>
            </w:tcMar>
          </w:tcPr>
          <w:p w:rsidR="00721B98" w:rsidRDefault="0018191B">
            <w:pPr>
              <w:keepNext/>
              <w:keepLines/>
              <w:spacing w:after="0"/>
              <w:jc w:val="left"/>
            </w:pPr>
            <w:r>
              <w:rPr>
                <w:noProof/>
              </w:rPr>
              <w:drawing>
                <wp:inline distT="0" distB="0" distL="0" distR="0">
                  <wp:extent cx="1011555" cy="1038860"/>
                  <wp:effectExtent l="0" t="0" r="0" b="0"/>
                  <wp:docPr id="19" name="Picture 19"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1"/>
                          <pic:cNvPicPr>
                            <a:picLocks noChangeAspect="1" noChangeArrowheads="1"/>
                          </pic:cNvPicPr>
                        </pic:nvPicPr>
                        <pic:blipFill>
                          <a:blip r:embed="rId13">
                            <a:extLst>
                              <a:ext uri="{28A0092B-C50C-407E-A947-70E740481C1C}">
                                <a14:useLocalDpi xmlns:a14="http://schemas.microsoft.com/office/drawing/2010/main" val="0"/>
                              </a:ext>
                            </a:extLst>
                          </a:blip>
                          <a:srcRect l="2759"/>
                          <a:stretch>
                            <a:fillRect/>
                          </a:stretch>
                        </pic:blipFill>
                        <pic:spPr bwMode="auto">
                          <a:xfrm>
                            <a:off x="0" y="0"/>
                            <a:ext cx="1011555" cy="1038860"/>
                          </a:xfrm>
                          <a:prstGeom prst="rect">
                            <a:avLst/>
                          </a:prstGeom>
                          <a:noFill/>
                          <a:ln>
                            <a:noFill/>
                          </a:ln>
                        </pic:spPr>
                      </pic:pic>
                    </a:graphicData>
                  </a:graphic>
                </wp:inline>
              </w:drawing>
            </w:r>
          </w:p>
        </w:tc>
        <w:tc>
          <w:tcPr>
            <w:tcW w:w="1973" w:type="pct"/>
            <w:tcMar>
              <w:left w:w="0" w:type="dxa"/>
              <w:right w:w="0" w:type="dxa"/>
            </w:tcMar>
          </w:tcPr>
          <w:p w:rsidR="00721B98" w:rsidRDefault="0018191B">
            <w:pPr>
              <w:keepNext/>
              <w:keepLines/>
              <w:spacing w:after="0"/>
              <w:jc w:val="center"/>
            </w:pPr>
            <w:r>
              <w:rPr>
                <w:noProof/>
              </w:rPr>
              <w:drawing>
                <wp:inline distT="0" distB="0" distL="0" distR="0">
                  <wp:extent cx="1122045" cy="1045845"/>
                  <wp:effectExtent l="0" t="0" r="0" b="0"/>
                  <wp:docPr id="20" name="Picture 20"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2"/>
                          <pic:cNvPicPr>
                            <a:picLocks noChangeAspect="1" noChangeArrowheads="1"/>
                          </pic:cNvPicPr>
                        </pic:nvPicPr>
                        <pic:blipFill>
                          <a:blip r:embed="rId14">
                            <a:extLst>
                              <a:ext uri="{28A0092B-C50C-407E-A947-70E740481C1C}">
                                <a14:useLocalDpi xmlns:a14="http://schemas.microsoft.com/office/drawing/2010/main" val="0"/>
                              </a:ext>
                            </a:extLst>
                          </a:blip>
                          <a:srcRect l="7680" r="7680" b="21120"/>
                          <a:stretch>
                            <a:fillRect/>
                          </a:stretch>
                        </pic:blipFill>
                        <pic:spPr bwMode="auto">
                          <a:xfrm>
                            <a:off x="0" y="0"/>
                            <a:ext cx="1122045" cy="1045845"/>
                          </a:xfrm>
                          <a:prstGeom prst="rect">
                            <a:avLst/>
                          </a:prstGeom>
                          <a:noFill/>
                          <a:ln>
                            <a:noFill/>
                          </a:ln>
                        </pic:spPr>
                      </pic:pic>
                    </a:graphicData>
                  </a:graphic>
                </wp:inline>
              </w:drawing>
            </w:r>
          </w:p>
        </w:tc>
        <w:tc>
          <w:tcPr>
            <w:tcW w:w="1194" w:type="pct"/>
            <w:tcMar>
              <w:left w:w="0" w:type="dxa"/>
              <w:right w:w="0" w:type="dxa"/>
            </w:tcMar>
          </w:tcPr>
          <w:p w:rsidR="00721B98" w:rsidRDefault="0018191B">
            <w:pPr>
              <w:keepNext/>
              <w:keepLines/>
              <w:spacing w:after="0"/>
              <w:jc w:val="right"/>
            </w:pPr>
            <w:r>
              <w:rPr>
                <w:noProof/>
              </w:rPr>
              <w:drawing>
                <wp:inline distT="0" distB="0" distL="0" distR="0">
                  <wp:extent cx="574675" cy="1038860"/>
                  <wp:effectExtent l="0" t="0" r="0" b="0"/>
                  <wp:docPr id="21" name="Picture 21"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2"/>
                          <pic:cNvPicPr>
                            <a:picLocks noChangeAspect="1" noChangeArrowheads="1"/>
                          </pic:cNvPicPr>
                        </pic:nvPicPr>
                        <pic:blipFill>
                          <a:blip r:embed="rId14">
                            <a:lum bright="6000"/>
                            <a:extLst>
                              <a:ext uri="{28A0092B-C50C-407E-A947-70E740481C1C}">
                                <a14:useLocalDpi xmlns:a14="http://schemas.microsoft.com/office/drawing/2010/main" val="0"/>
                              </a:ext>
                            </a:extLst>
                          </a:blip>
                          <a:srcRect l="64128" t="2496" r="11520" b="53185"/>
                          <a:stretch>
                            <a:fillRect/>
                          </a:stretch>
                        </pic:blipFill>
                        <pic:spPr bwMode="auto">
                          <a:xfrm>
                            <a:off x="0" y="0"/>
                            <a:ext cx="574675" cy="1038860"/>
                          </a:xfrm>
                          <a:prstGeom prst="rect">
                            <a:avLst/>
                          </a:prstGeom>
                          <a:noFill/>
                          <a:ln>
                            <a:noFill/>
                          </a:ln>
                        </pic:spPr>
                      </pic:pic>
                    </a:graphicData>
                  </a:graphic>
                </wp:inline>
              </w:drawing>
            </w:r>
          </w:p>
        </w:tc>
      </w:tr>
      <w:tr w:rsidR="00721B98">
        <w:trPr>
          <w:trHeight w:val="87"/>
        </w:trPr>
        <w:tc>
          <w:tcPr>
            <w:tcW w:w="5000" w:type="pct"/>
            <w:gridSpan w:val="3"/>
            <w:tcMar>
              <w:left w:w="0" w:type="dxa"/>
              <w:right w:w="0" w:type="dxa"/>
            </w:tcMar>
          </w:tcPr>
          <w:p w:rsidR="00721B98" w:rsidRDefault="00721B98" w:rsidP="005201D3">
            <w:pPr>
              <w:keepNext/>
              <w:keepLines/>
              <w:spacing w:after="0"/>
              <w:jc w:val="center"/>
            </w:pPr>
            <w:r>
              <w:t xml:space="preserve">(b) Floater </w:t>
            </w:r>
            <w:r>
              <w:fldChar w:fldCharType="begin"/>
            </w:r>
            <w:r>
              <w:instrText xml:space="preserve"> REF _Ref501788518 \r \h  \* MERGEFORMAT </w:instrText>
            </w:r>
            <w:r>
              <w:fldChar w:fldCharType="separate"/>
            </w:r>
            <w:r w:rsidR="00FF60D9">
              <w:t>[5]</w:t>
            </w:r>
            <w:r>
              <w:fldChar w:fldCharType="end"/>
            </w:r>
            <w:r>
              <w:t xml:space="preserve">   </w:t>
            </w:r>
            <w:r w:rsidR="005201D3">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=2.26</m:t>
              </m:r>
            </m:oMath>
            <w:r w:rsidR="005201D3">
              <w:t xml:space="preserve">   </w:t>
            </w:r>
            <m:oMath>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=9.86</m:t>
              </m:r>
            </m:oMath>
          </w:p>
        </w:tc>
      </w:tr>
      <w:tr w:rsidR="00721B98">
        <w:trPr>
          <w:trHeight w:val="350"/>
        </w:trPr>
        <w:tc>
          <w:tcPr>
            <w:tcW w:w="1833" w:type="pct"/>
            <w:tcMar>
              <w:left w:w="0" w:type="dxa"/>
              <w:right w:w="0" w:type="dxa"/>
            </w:tcMar>
          </w:tcPr>
          <w:p w:rsidR="00721B98" w:rsidRDefault="0018191B">
            <w:pPr>
              <w:keepNext/>
              <w:keepLines/>
              <w:spacing w:after="0"/>
              <w:jc w:val="left"/>
            </w:pPr>
            <w:r>
              <w:rPr>
                <w:noProof/>
              </w:rPr>
              <w:drawing>
                <wp:inline distT="0" distB="0" distL="0" distR="0">
                  <wp:extent cx="1018540" cy="1038860"/>
                  <wp:effectExtent l="0" t="0" r="0" b="0"/>
                  <wp:docPr id="22" name="Picture 22"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1"/>
                          <pic:cNvPicPr>
                            <a:picLocks noChangeAspect="1" noChangeArrowheads="1"/>
                          </pic:cNvPicPr>
                        </pic:nvPicPr>
                        <pic:blipFill>
                          <a:blip r:embed="rId15">
                            <a:extLst>
                              <a:ext uri="{28A0092B-C50C-407E-A947-70E740481C1C}">
                                <a14:useLocalDpi xmlns:a14="http://schemas.microsoft.com/office/drawing/2010/main" val="0"/>
                              </a:ext>
                            </a:extLst>
                          </a:blip>
                          <a:srcRect l="2759"/>
                          <a:stretch>
                            <a:fillRect/>
                          </a:stretch>
                        </pic:blipFill>
                        <pic:spPr bwMode="auto">
                          <a:xfrm>
                            <a:off x="0" y="0"/>
                            <a:ext cx="1018540" cy="1038860"/>
                          </a:xfrm>
                          <a:prstGeom prst="rect">
                            <a:avLst/>
                          </a:prstGeom>
                          <a:noFill/>
                          <a:ln>
                            <a:noFill/>
                          </a:ln>
                        </pic:spPr>
                      </pic:pic>
                    </a:graphicData>
                  </a:graphic>
                </wp:inline>
              </w:drawing>
            </w:r>
          </w:p>
        </w:tc>
        <w:tc>
          <w:tcPr>
            <w:tcW w:w="1973" w:type="pct"/>
            <w:tcMar>
              <w:left w:w="0" w:type="dxa"/>
              <w:right w:w="0" w:type="dxa"/>
            </w:tcMar>
          </w:tcPr>
          <w:p w:rsidR="00721B98" w:rsidRDefault="0018191B">
            <w:pPr>
              <w:keepNext/>
              <w:keepLines/>
              <w:spacing w:after="0"/>
              <w:jc w:val="center"/>
            </w:pPr>
            <w:r>
              <w:rPr>
                <w:noProof/>
              </w:rPr>
              <w:drawing>
                <wp:inline distT="0" distB="0" distL="0" distR="0">
                  <wp:extent cx="1122045" cy="1045845"/>
                  <wp:effectExtent l="0" t="0" r="0" b="0"/>
                  <wp:docPr id="23" name="Picture 23"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2"/>
                          <pic:cNvPicPr>
                            <a:picLocks noChangeAspect="1" noChangeArrowheads="1"/>
                          </pic:cNvPicPr>
                        </pic:nvPicPr>
                        <pic:blipFill>
                          <a:blip r:embed="rId16">
                            <a:extLst>
                              <a:ext uri="{28A0092B-C50C-407E-A947-70E740481C1C}">
                                <a14:useLocalDpi xmlns:a14="http://schemas.microsoft.com/office/drawing/2010/main" val="0"/>
                              </a:ext>
                            </a:extLst>
                          </a:blip>
                          <a:srcRect l="7680" r="7680" b="21120"/>
                          <a:stretch>
                            <a:fillRect/>
                          </a:stretch>
                        </pic:blipFill>
                        <pic:spPr bwMode="auto">
                          <a:xfrm>
                            <a:off x="0" y="0"/>
                            <a:ext cx="1122045" cy="1045845"/>
                          </a:xfrm>
                          <a:prstGeom prst="rect">
                            <a:avLst/>
                          </a:prstGeom>
                          <a:noFill/>
                          <a:ln>
                            <a:noFill/>
                          </a:ln>
                        </pic:spPr>
                      </pic:pic>
                    </a:graphicData>
                  </a:graphic>
                </wp:inline>
              </w:drawing>
            </w:r>
          </w:p>
        </w:tc>
        <w:tc>
          <w:tcPr>
            <w:tcW w:w="1194" w:type="pct"/>
            <w:tcMar>
              <w:left w:w="0" w:type="dxa"/>
              <w:right w:w="0" w:type="dxa"/>
            </w:tcMar>
          </w:tcPr>
          <w:p w:rsidR="00721B98" w:rsidRDefault="0018191B">
            <w:pPr>
              <w:keepNext/>
              <w:keepLines/>
              <w:spacing w:after="0"/>
              <w:jc w:val="right"/>
            </w:pPr>
            <w:r>
              <w:rPr>
                <w:noProof/>
              </w:rPr>
              <w:drawing>
                <wp:inline distT="0" distB="0" distL="0" distR="0">
                  <wp:extent cx="574675" cy="1038860"/>
                  <wp:effectExtent l="0" t="0" r="0" b="0"/>
                  <wp:docPr id="24" name="Picture 24"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2"/>
                          <pic:cNvPicPr>
                            <a:picLocks noChangeAspect="1" noChangeArrowheads="1"/>
                          </pic:cNvPicPr>
                        </pic:nvPicPr>
                        <pic:blipFill>
                          <a:blip r:embed="rId16">
                            <a:lum bright="6000"/>
                            <a:extLst>
                              <a:ext uri="{28A0092B-C50C-407E-A947-70E740481C1C}">
                                <a14:useLocalDpi xmlns:a14="http://schemas.microsoft.com/office/drawing/2010/main" val="0"/>
                              </a:ext>
                            </a:extLst>
                          </a:blip>
                          <a:srcRect l="64128" t="2496" r="11520" b="53185"/>
                          <a:stretch>
                            <a:fillRect/>
                          </a:stretch>
                        </pic:blipFill>
                        <pic:spPr bwMode="auto">
                          <a:xfrm>
                            <a:off x="0" y="0"/>
                            <a:ext cx="574675" cy="1038860"/>
                          </a:xfrm>
                          <a:prstGeom prst="rect">
                            <a:avLst/>
                          </a:prstGeom>
                          <a:noFill/>
                          <a:ln>
                            <a:noFill/>
                          </a:ln>
                        </pic:spPr>
                      </pic:pic>
                    </a:graphicData>
                  </a:graphic>
                </wp:inline>
              </w:drawing>
            </w:r>
          </w:p>
        </w:tc>
      </w:tr>
      <w:tr w:rsidR="00721B98">
        <w:trPr>
          <w:trHeight w:val="87"/>
        </w:trPr>
        <w:tc>
          <w:tcPr>
            <w:tcW w:w="5000" w:type="pct"/>
            <w:gridSpan w:val="3"/>
            <w:tcMar>
              <w:left w:w="0" w:type="dxa"/>
              <w:right w:w="0" w:type="dxa"/>
            </w:tcMar>
          </w:tcPr>
          <w:p w:rsidR="00721B98" w:rsidRDefault="00721B98" w:rsidP="005201D3">
            <w:pPr>
              <w:keepNext/>
              <w:keepLines/>
              <w:spacing w:after="0"/>
              <w:jc w:val="center"/>
            </w:pPr>
            <w:r>
              <w:t xml:space="preserve">(c) MIPS </w:t>
            </w:r>
            <w:r>
              <w:fldChar w:fldCharType="begin"/>
            </w:r>
            <w:r>
              <w:instrText xml:space="preserve"> REF _Ref501878670 \r \h  \* MERGEFORMAT </w:instrText>
            </w:r>
            <w:r>
              <w:fldChar w:fldCharType="separate"/>
            </w:r>
            <w:r w:rsidR="00FF60D9">
              <w:t>[11]</w:t>
            </w:r>
            <w:r>
              <w:fldChar w:fldCharType="end"/>
            </w:r>
            <w:r>
              <w:t xml:space="preserve">    </w:t>
            </w:r>
            <w:r w:rsidR="005201D3">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=2.31</m:t>
              </m:r>
            </m:oMath>
            <w:r w:rsidR="005201D3">
              <w:t xml:space="preserve">   </w:t>
            </w:r>
            <m:oMath>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=7.46</m:t>
              </m:r>
            </m:oMath>
          </w:p>
        </w:tc>
      </w:tr>
      <w:tr w:rsidR="00721B98">
        <w:trPr>
          <w:trHeight w:val="530"/>
        </w:trPr>
        <w:tc>
          <w:tcPr>
            <w:tcW w:w="1833" w:type="pct"/>
            <w:tcMar>
              <w:left w:w="0" w:type="dxa"/>
              <w:right w:w="0" w:type="dxa"/>
            </w:tcMar>
          </w:tcPr>
          <w:p w:rsidR="00721B98" w:rsidRDefault="0018191B">
            <w:pPr>
              <w:keepNext/>
              <w:keepLines/>
              <w:spacing w:after="0"/>
              <w:jc w:val="left"/>
            </w:pPr>
            <w:r>
              <w:rPr>
                <w:noProof/>
              </w:rPr>
              <w:drawing>
                <wp:inline distT="0" distB="0" distL="0" distR="0">
                  <wp:extent cx="1011555" cy="1045845"/>
                  <wp:effectExtent l="0" t="0" r="0" b="0"/>
                  <wp:docPr id="25" name="Picture 25"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1"/>
                          <pic:cNvPicPr>
                            <a:picLocks noChangeAspect="1" noChangeArrowheads="1"/>
                          </pic:cNvPicPr>
                        </pic:nvPicPr>
                        <pic:blipFill>
                          <a:blip r:embed="rId17">
                            <a:extLst>
                              <a:ext uri="{28A0092B-C50C-407E-A947-70E740481C1C}">
                                <a14:useLocalDpi xmlns:a14="http://schemas.microsoft.com/office/drawing/2010/main" val="0"/>
                              </a:ext>
                            </a:extLst>
                          </a:blip>
                          <a:srcRect l="2759"/>
                          <a:stretch>
                            <a:fillRect/>
                          </a:stretch>
                        </pic:blipFill>
                        <pic:spPr bwMode="auto">
                          <a:xfrm>
                            <a:off x="0" y="0"/>
                            <a:ext cx="1011555" cy="1045845"/>
                          </a:xfrm>
                          <a:prstGeom prst="rect">
                            <a:avLst/>
                          </a:prstGeom>
                          <a:noFill/>
                          <a:ln>
                            <a:noFill/>
                          </a:ln>
                        </pic:spPr>
                      </pic:pic>
                    </a:graphicData>
                  </a:graphic>
                </wp:inline>
              </w:drawing>
            </w:r>
          </w:p>
        </w:tc>
        <w:tc>
          <w:tcPr>
            <w:tcW w:w="1973" w:type="pct"/>
            <w:tcMar>
              <w:left w:w="0" w:type="dxa"/>
              <w:right w:w="0" w:type="dxa"/>
            </w:tcMar>
          </w:tcPr>
          <w:p w:rsidR="00721B98" w:rsidRDefault="0018191B">
            <w:pPr>
              <w:keepNext/>
              <w:keepLines/>
              <w:spacing w:after="0"/>
              <w:jc w:val="center"/>
            </w:pPr>
            <w:r>
              <w:rPr>
                <w:noProof/>
              </w:rPr>
              <w:drawing>
                <wp:inline distT="0" distB="0" distL="0" distR="0">
                  <wp:extent cx="1122045" cy="1045845"/>
                  <wp:effectExtent l="0" t="0" r="0" b="0"/>
                  <wp:docPr id="26" name="Picture 26"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2"/>
                          <pic:cNvPicPr>
                            <a:picLocks noChangeAspect="1" noChangeArrowheads="1"/>
                          </pic:cNvPicPr>
                        </pic:nvPicPr>
                        <pic:blipFill>
                          <a:blip r:embed="rId18">
                            <a:extLst>
                              <a:ext uri="{28A0092B-C50C-407E-A947-70E740481C1C}">
                                <a14:useLocalDpi xmlns:a14="http://schemas.microsoft.com/office/drawing/2010/main" val="0"/>
                              </a:ext>
                            </a:extLst>
                          </a:blip>
                          <a:srcRect l="7680" r="7680" b="21120"/>
                          <a:stretch>
                            <a:fillRect/>
                          </a:stretch>
                        </pic:blipFill>
                        <pic:spPr bwMode="auto">
                          <a:xfrm>
                            <a:off x="0" y="0"/>
                            <a:ext cx="1122045" cy="1045845"/>
                          </a:xfrm>
                          <a:prstGeom prst="rect">
                            <a:avLst/>
                          </a:prstGeom>
                          <a:noFill/>
                          <a:ln>
                            <a:noFill/>
                          </a:ln>
                        </pic:spPr>
                      </pic:pic>
                    </a:graphicData>
                  </a:graphic>
                </wp:inline>
              </w:drawing>
            </w:r>
          </w:p>
        </w:tc>
        <w:tc>
          <w:tcPr>
            <w:tcW w:w="1194" w:type="pct"/>
            <w:tcMar>
              <w:left w:w="0" w:type="dxa"/>
              <w:right w:w="0" w:type="dxa"/>
            </w:tcMar>
          </w:tcPr>
          <w:p w:rsidR="00721B98" w:rsidRDefault="0018191B">
            <w:pPr>
              <w:keepNext/>
              <w:keepLines/>
              <w:spacing w:after="0"/>
              <w:jc w:val="right"/>
            </w:pPr>
            <w:r>
              <w:rPr>
                <w:noProof/>
              </w:rPr>
              <w:drawing>
                <wp:inline distT="0" distB="0" distL="0" distR="0">
                  <wp:extent cx="574675" cy="1045845"/>
                  <wp:effectExtent l="0" t="0" r="0" b="0"/>
                  <wp:docPr id="27" name="Picture 27"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2"/>
                          <pic:cNvPicPr>
                            <a:picLocks noChangeAspect="1" noChangeArrowheads="1"/>
                          </pic:cNvPicPr>
                        </pic:nvPicPr>
                        <pic:blipFill>
                          <a:blip r:embed="rId18">
                            <a:lum bright="6000"/>
                            <a:extLst>
                              <a:ext uri="{28A0092B-C50C-407E-A947-70E740481C1C}">
                                <a14:useLocalDpi xmlns:a14="http://schemas.microsoft.com/office/drawing/2010/main" val="0"/>
                              </a:ext>
                            </a:extLst>
                          </a:blip>
                          <a:srcRect l="64128" t="2496" r="11520" b="53185"/>
                          <a:stretch>
                            <a:fillRect/>
                          </a:stretch>
                        </pic:blipFill>
                        <pic:spPr bwMode="auto">
                          <a:xfrm>
                            <a:off x="0" y="0"/>
                            <a:ext cx="574675" cy="1045845"/>
                          </a:xfrm>
                          <a:prstGeom prst="rect">
                            <a:avLst/>
                          </a:prstGeom>
                          <a:noFill/>
                          <a:ln>
                            <a:noFill/>
                          </a:ln>
                        </pic:spPr>
                      </pic:pic>
                    </a:graphicData>
                  </a:graphic>
                </wp:inline>
              </w:drawing>
            </w:r>
          </w:p>
        </w:tc>
      </w:tr>
      <w:tr w:rsidR="00721B98">
        <w:trPr>
          <w:trHeight w:val="90"/>
        </w:trPr>
        <w:tc>
          <w:tcPr>
            <w:tcW w:w="5000" w:type="pct"/>
            <w:gridSpan w:val="3"/>
            <w:tcMar>
              <w:left w:w="0" w:type="dxa"/>
              <w:right w:w="0" w:type="dxa"/>
            </w:tcMar>
          </w:tcPr>
          <w:p w:rsidR="00721B98" w:rsidRDefault="00721B98" w:rsidP="005201D3">
            <w:pPr>
              <w:keepNext/>
              <w:keepLines/>
              <w:spacing w:after="0"/>
              <w:jc w:val="center"/>
            </w:pPr>
            <w:r>
              <w:t xml:space="preserve">(d) Maillot </w:t>
            </w:r>
            <w:r>
              <w:fldChar w:fldCharType="begin"/>
            </w:r>
            <w:r>
              <w:instrText xml:space="preserve"> REF _Ref501778025 \r \h  \* MERGEFORMAT </w:instrText>
            </w:r>
            <w:r>
              <w:fldChar w:fldCharType="separate"/>
            </w:r>
            <w:r w:rsidR="00FF60D9">
              <w:t>[20]</w:t>
            </w:r>
            <w:r>
              <w:fldChar w:fldCharType="end"/>
            </w:r>
            <w:r>
              <w:t xml:space="preserve">    </w:t>
            </w:r>
            <w:r w:rsidR="005201D3">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m:t>
              </m:r>
            </m:oMath>
            <w:r w:rsidR="005201D3">
              <w:t xml:space="preserve">   </w:t>
            </w:r>
            <m:oMath>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m:t>
              </m:r>
            </m:oMath>
          </w:p>
        </w:tc>
      </w:tr>
      <w:tr w:rsidR="00721B98">
        <w:trPr>
          <w:trHeight w:val="530"/>
        </w:trPr>
        <w:tc>
          <w:tcPr>
            <w:tcW w:w="1833" w:type="pct"/>
            <w:tcMar>
              <w:left w:w="0" w:type="dxa"/>
              <w:right w:w="0" w:type="dxa"/>
            </w:tcMar>
          </w:tcPr>
          <w:p w:rsidR="00721B98" w:rsidRDefault="0018191B">
            <w:pPr>
              <w:keepNext/>
              <w:keepLines/>
              <w:spacing w:after="0"/>
              <w:jc w:val="left"/>
            </w:pPr>
            <w:r>
              <w:rPr>
                <w:noProof/>
              </w:rPr>
              <w:drawing>
                <wp:inline distT="0" distB="0" distL="0" distR="0">
                  <wp:extent cx="1011555" cy="1038860"/>
                  <wp:effectExtent l="0" t="0" r="0" b="0"/>
                  <wp:docPr id="28" name="Picture 28"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1"/>
                          <pic:cNvPicPr>
                            <a:picLocks noChangeAspect="1" noChangeArrowheads="1"/>
                          </pic:cNvPicPr>
                        </pic:nvPicPr>
                        <pic:blipFill>
                          <a:blip r:embed="rId19">
                            <a:extLst>
                              <a:ext uri="{28A0092B-C50C-407E-A947-70E740481C1C}">
                                <a14:useLocalDpi xmlns:a14="http://schemas.microsoft.com/office/drawing/2010/main" val="0"/>
                              </a:ext>
                            </a:extLst>
                          </a:blip>
                          <a:srcRect l="2759"/>
                          <a:stretch>
                            <a:fillRect/>
                          </a:stretch>
                        </pic:blipFill>
                        <pic:spPr bwMode="auto">
                          <a:xfrm>
                            <a:off x="0" y="0"/>
                            <a:ext cx="1011555" cy="1038860"/>
                          </a:xfrm>
                          <a:prstGeom prst="rect">
                            <a:avLst/>
                          </a:prstGeom>
                          <a:noFill/>
                          <a:ln>
                            <a:noFill/>
                          </a:ln>
                        </pic:spPr>
                      </pic:pic>
                    </a:graphicData>
                  </a:graphic>
                </wp:inline>
              </w:drawing>
            </w:r>
          </w:p>
        </w:tc>
        <w:tc>
          <w:tcPr>
            <w:tcW w:w="1973" w:type="pct"/>
            <w:tcMar>
              <w:left w:w="0" w:type="dxa"/>
              <w:right w:w="0" w:type="dxa"/>
            </w:tcMar>
          </w:tcPr>
          <w:p w:rsidR="00721B98" w:rsidRDefault="0018191B">
            <w:pPr>
              <w:keepNext/>
              <w:keepLines/>
              <w:spacing w:after="0"/>
              <w:jc w:val="center"/>
            </w:pPr>
            <w:r>
              <w:rPr>
                <w:noProof/>
              </w:rPr>
              <w:drawing>
                <wp:inline distT="0" distB="0" distL="0" distR="0">
                  <wp:extent cx="1122045" cy="1045845"/>
                  <wp:effectExtent l="0" t="0" r="0" b="0"/>
                  <wp:docPr id="29" name="Picture 29"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2"/>
                          <pic:cNvPicPr>
                            <a:picLocks noChangeAspect="1" noChangeArrowheads="1"/>
                          </pic:cNvPicPr>
                        </pic:nvPicPr>
                        <pic:blipFill>
                          <a:blip r:embed="rId20">
                            <a:extLst>
                              <a:ext uri="{28A0092B-C50C-407E-A947-70E740481C1C}">
                                <a14:useLocalDpi xmlns:a14="http://schemas.microsoft.com/office/drawing/2010/main" val="0"/>
                              </a:ext>
                            </a:extLst>
                          </a:blip>
                          <a:srcRect l="7680" r="7680" b="21120"/>
                          <a:stretch>
                            <a:fillRect/>
                          </a:stretch>
                        </pic:blipFill>
                        <pic:spPr bwMode="auto">
                          <a:xfrm>
                            <a:off x="0" y="0"/>
                            <a:ext cx="1122045" cy="1045845"/>
                          </a:xfrm>
                          <a:prstGeom prst="rect">
                            <a:avLst/>
                          </a:prstGeom>
                          <a:noFill/>
                          <a:ln>
                            <a:noFill/>
                          </a:ln>
                        </pic:spPr>
                      </pic:pic>
                    </a:graphicData>
                  </a:graphic>
                </wp:inline>
              </w:drawing>
            </w:r>
          </w:p>
        </w:tc>
        <w:tc>
          <w:tcPr>
            <w:tcW w:w="1194" w:type="pct"/>
            <w:tcMar>
              <w:left w:w="0" w:type="dxa"/>
              <w:right w:w="0" w:type="dxa"/>
            </w:tcMar>
          </w:tcPr>
          <w:p w:rsidR="00721B98" w:rsidRDefault="0018191B">
            <w:pPr>
              <w:keepNext/>
              <w:keepLines/>
              <w:spacing w:after="0"/>
              <w:jc w:val="right"/>
            </w:pPr>
            <w:r>
              <w:rPr>
                <w:noProof/>
              </w:rPr>
              <w:drawing>
                <wp:inline distT="0" distB="0" distL="0" distR="0">
                  <wp:extent cx="554355" cy="1052830"/>
                  <wp:effectExtent l="0" t="0" r="0" b="0"/>
                  <wp:docPr id="30" name="Picture 30"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2"/>
                          <pic:cNvPicPr>
                            <a:picLocks noChangeAspect="1" noChangeArrowheads="1"/>
                          </pic:cNvPicPr>
                        </pic:nvPicPr>
                        <pic:blipFill>
                          <a:blip r:embed="rId20">
                            <a:lum bright="6000"/>
                            <a:extLst>
                              <a:ext uri="{28A0092B-C50C-407E-A947-70E740481C1C}">
                                <a14:useLocalDpi xmlns:a14="http://schemas.microsoft.com/office/drawing/2010/main" val="0"/>
                              </a:ext>
                            </a:extLst>
                          </a:blip>
                          <a:srcRect l="64128" t="2496" r="11520" b="53185"/>
                          <a:stretch>
                            <a:fillRect/>
                          </a:stretch>
                        </pic:blipFill>
                        <pic:spPr bwMode="auto">
                          <a:xfrm>
                            <a:off x="0" y="0"/>
                            <a:ext cx="554355" cy="1052830"/>
                          </a:xfrm>
                          <a:prstGeom prst="rect">
                            <a:avLst/>
                          </a:prstGeom>
                          <a:noFill/>
                          <a:ln>
                            <a:noFill/>
                          </a:ln>
                        </pic:spPr>
                      </pic:pic>
                    </a:graphicData>
                  </a:graphic>
                </wp:inline>
              </w:drawing>
            </w:r>
          </w:p>
        </w:tc>
      </w:tr>
      <w:tr w:rsidR="00721B98">
        <w:trPr>
          <w:trHeight w:val="87"/>
        </w:trPr>
        <w:tc>
          <w:tcPr>
            <w:tcW w:w="5000" w:type="pct"/>
            <w:gridSpan w:val="3"/>
            <w:tcMar>
              <w:left w:w="0" w:type="dxa"/>
              <w:right w:w="0" w:type="dxa"/>
            </w:tcMar>
          </w:tcPr>
          <w:p w:rsidR="00721B98" w:rsidRDefault="00721B98" w:rsidP="005201D3">
            <w:pPr>
              <w:keepNext/>
              <w:keepLines/>
              <w:spacing w:after="0"/>
              <w:jc w:val="center"/>
            </w:pPr>
            <w:r>
              <w:t xml:space="preserve">(e) area-preserving    </w:t>
            </w:r>
            <w:r w:rsidR="005201D3">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 xml:space="preserve">=1.57 </m:t>
              </m:r>
            </m:oMath>
            <w:r w:rsidR="005201D3">
              <w:t xml:space="preserve">   </w:t>
            </w:r>
            <m:oMath>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=4.19</m:t>
              </m:r>
            </m:oMath>
          </w:p>
        </w:tc>
      </w:tr>
      <w:tr w:rsidR="00721B98">
        <w:trPr>
          <w:trHeight w:val="620"/>
        </w:trPr>
        <w:tc>
          <w:tcPr>
            <w:tcW w:w="1833" w:type="pct"/>
            <w:tcMar>
              <w:left w:w="0" w:type="dxa"/>
              <w:right w:w="0" w:type="dxa"/>
            </w:tcMar>
          </w:tcPr>
          <w:p w:rsidR="00721B98" w:rsidRDefault="0018191B">
            <w:pPr>
              <w:keepNext/>
              <w:keepLines/>
              <w:spacing w:after="0"/>
              <w:jc w:val="left"/>
            </w:pPr>
            <w:r>
              <w:rPr>
                <w:noProof/>
              </w:rPr>
              <w:drawing>
                <wp:inline distT="0" distB="0" distL="0" distR="0">
                  <wp:extent cx="1011555" cy="1038860"/>
                  <wp:effectExtent l="0" t="0" r="0" b="0"/>
                  <wp:docPr id="31" name="Picture 31"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1"/>
                          <pic:cNvPicPr>
                            <a:picLocks noChangeAspect="1" noChangeArrowheads="1"/>
                          </pic:cNvPicPr>
                        </pic:nvPicPr>
                        <pic:blipFill>
                          <a:blip r:embed="rId21">
                            <a:extLst>
                              <a:ext uri="{28A0092B-C50C-407E-A947-70E740481C1C}">
                                <a14:useLocalDpi xmlns:a14="http://schemas.microsoft.com/office/drawing/2010/main" val="0"/>
                              </a:ext>
                            </a:extLst>
                          </a:blip>
                          <a:srcRect l="2759"/>
                          <a:stretch>
                            <a:fillRect/>
                          </a:stretch>
                        </pic:blipFill>
                        <pic:spPr bwMode="auto">
                          <a:xfrm>
                            <a:off x="0" y="0"/>
                            <a:ext cx="1011555" cy="1038860"/>
                          </a:xfrm>
                          <a:prstGeom prst="rect">
                            <a:avLst/>
                          </a:prstGeom>
                          <a:noFill/>
                          <a:ln>
                            <a:noFill/>
                          </a:ln>
                        </pic:spPr>
                      </pic:pic>
                    </a:graphicData>
                  </a:graphic>
                </wp:inline>
              </w:drawing>
            </w:r>
          </w:p>
        </w:tc>
        <w:tc>
          <w:tcPr>
            <w:tcW w:w="1973" w:type="pct"/>
            <w:tcMar>
              <w:left w:w="0" w:type="dxa"/>
              <w:right w:w="0" w:type="dxa"/>
            </w:tcMar>
          </w:tcPr>
          <w:p w:rsidR="00721B98" w:rsidRDefault="0018191B">
            <w:pPr>
              <w:keepNext/>
              <w:keepLines/>
              <w:spacing w:after="0"/>
              <w:jc w:val="center"/>
            </w:pPr>
            <w:r>
              <w:rPr>
                <w:noProof/>
              </w:rPr>
              <w:drawing>
                <wp:inline distT="0" distB="0" distL="0" distR="0">
                  <wp:extent cx="1122045" cy="1045845"/>
                  <wp:effectExtent l="0" t="0" r="0" b="0"/>
                  <wp:docPr id="32" name="Picture 32"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2"/>
                          <pic:cNvPicPr>
                            <a:picLocks noChangeAspect="1" noChangeArrowheads="1"/>
                          </pic:cNvPicPr>
                        </pic:nvPicPr>
                        <pic:blipFill>
                          <a:blip r:embed="rId22">
                            <a:extLst>
                              <a:ext uri="{28A0092B-C50C-407E-A947-70E740481C1C}">
                                <a14:useLocalDpi xmlns:a14="http://schemas.microsoft.com/office/drawing/2010/main" val="0"/>
                              </a:ext>
                            </a:extLst>
                          </a:blip>
                          <a:srcRect l="7680" r="7680" b="21120"/>
                          <a:stretch>
                            <a:fillRect/>
                          </a:stretch>
                        </pic:blipFill>
                        <pic:spPr bwMode="auto">
                          <a:xfrm>
                            <a:off x="0" y="0"/>
                            <a:ext cx="1122045" cy="1045845"/>
                          </a:xfrm>
                          <a:prstGeom prst="rect">
                            <a:avLst/>
                          </a:prstGeom>
                          <a:noFill/>
                          <a:ln>
                            <a:noFill/>
                          </a:ln>
                        </pic:spPr>
                      </pic:pic>
                    </a:graphicData>
                  </a:graphic>
                </wp:inline>
              </w:drawing>
            </w:r>
          </w:p>
        </w:tc>
        <w:tc>
          <w:tcPr>
            <w:tcW w:w="1194" w:type="pct"/>
            <w:tcMar>
              <w:left w:w="0" w:type="dxa"/>
              <w:right w:w="0" w:type="dxa"/>
            </w:tcMar>
          </w:tcPr>
          <w:p w:rsidR="00721B98" w:rsidRDefault="0018191B">
            <w:pPr>
              <w:keepNext/>
              <w:keepLines/>
              <w:spacing w:after="0"/>
              <w:jc w:val="right"/>
            </w:pPr>
            <w:r>
              <w:rPr>
                <w:noProof/>
              </w:rPr>
              <w:drawing>
                <wp:inline distT="0" distB="0" distL="0" distR="0">
                  <wp:extent cx="574675" cy="1045845"/>
                  <wp:effectExtent l="0" t="0" r="0" b="0"/>
                  <wp:docPr id="33" name="Picture 33"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2"/>
                          <pic:cNvPicPr>
                            <a:picLocks noChangeAspect="1" noChangeArrowheads="1"/>
                          </pic:cNvPicPr>
                        </pic:nvPicPr>
                        <pic:blipFill>
                          <a:blip r:embed="rId22">
                            <a:lum bright="6000"/>
                            <a:extLst>
                              <a:ext uri="{28A0092B-C50C-407E-A947-70E740481C1C}">
                                <a14:useLocalDpi xmlns:a14="http://schemas.microsoft.com/office/drawing/2010/main" val="0"/>
                              </a:ext>
                            </a:extLst>
                          </a:blip>
                          <a:srcRect l="64128" t="2496" r="11520" b="53185"/>
                          <a:stretch>
                            <a:fillRect/>
                          </a:stretch>
                        </pic:blipFill>
                        <pic:spPr bwMode="auto">
                          <a:xfrm>
                            <a:off x="0" y="0"/>
                            <a:ext cx="574675" cy="1045845"/>
                          </a:xfrm>
                          <a:prstGeom prst="rect">
                            <a:avLst/>
                          </a:prstGeom>
                          <a:noFill/>
                          <a:ln>
                            <a:noFill/>
                          </a:ln>
                        </pic:spPr>
                      </pic:pic>
                    </a:graphicData>
                  </a:graphic>
                </wp:inline>
              </w:drawing>
            </w:r>
          </w:p>
        </w:tc>
      </w:tr>
      <w:tr w:rsidR="00721B98">
        <w:trPr>
          <w:trHeight w:val="90"/>
        </w:trPr>
        <w:tc>
          <w:tcPr>
            <w:tcW w:w="5000" w:type="pct"/>
            <w:gridSpan w:val="3"/>
            <w:tcMar>
              <w:left w:w="0" w:type="dxa"/>
              <w:right w:w="0" w:type="dxa"/>
            </w:tcMar>
          </w:tcPr>
          <w:p w:rsidR="00721B98" w:rsidRDefault="00721B98" w:rsidP="00E87B47">
            <w:pPr>
              <w:keepNext/>
              <w:keepLines/>
              <w:spacing w:after="0"/>
              <w:jc w:val="center"/>
            </w:pPr>
            <w:r>
              <w:t>(f) our</w:t>
            </w:r>
            <w:r w:rsidR="00E87B47">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oMath>
            <w:r>
              <w:t xml:space="preserve"> stretch    </w:t>
            </w:r>
            <w:r w:rsidR="005201D3">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=1.22</m:t>
              </m:r>
            </m:oMath>
            <w:r w:rsidR="005201D3">
              <w:t xml:space="preserve">   </w:t>
            </w:r>
            <m:oMath>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=2.13</m:t>
              </m:r>
            </m:oMath>
          </w:p>
        </w:tc>
      </w:tr>
      <w:tr w:rsidR="00721B98">
        <w:trPr>
          <w:trHeight w:val="620"/>
        </w:trPr>
        <w:tc>
          <w:tcPr>
            <w:tcW w:w="1833" w:type="pct"/>
            <w:tcMar>
              <w:left w:w="0" w:type="dxa"/>
              <w:right w:w="0" w:type="dxa"/>
            </w:tcMar>
          </w:tcPr>
          <w:p w:rsidR="00721B98" w:rsidRDefault="0018191B">
            <w:pPr>
              <w:keepNext/>
              <w:keepLines/>
              <w:spacing w:after="0"/>
              <w:jc w:val="left"/>
            </w:pPr>
            <w:r>
              <w:rPr>
                <w:noProof/>
              </w:rPr>
              <w:drawing>
                <wp:inline distT="0" distB="0" distL="0" distR="0">
                  <wp:extent cx="1011555" cy="1038860"/>
                  <wp:effectExtent l="0" t="0" r="0" b="0"/>
                  <wp:docPr id="34" name="Picture 34"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1"/>
                          <pic:cNvPicPr>
                            <a:picLocks noChangeAspect="1" noChangeArrowheads="1"/>
                          </pic:cNvPicPr>
                        </pic:nvPicPr>
                        <pic:blipFill>
                          <a:blip r:embed="rId23">
                            <a:extLst>
                              <a:ext uri="{28A0092B-C50C-407E-A947-70E740481C1C}">
                                <a14:useLocalDpi xmlns:a14="http://schemas.microsoft.com/office/drawing/2010/main" val="0"/>
                              </a:ext>
                            </a:extLst>
                          </a:blip>
                          <a:srcRect l="2759"/>
                          <a:stretch>
                            <a:fillRect/>
                          </a:stretch>
                        </pic:blipFill>
                        <pic:spPr bwMode="auto">
                          <a:xfrm>
                            <a:off x="0" y="0"/>
                            <a:ext cx="1011555" cy="1038860"/>
                          </a:xfrm>
                          <a:prstGeom prst="rect">
                            <a:avLst/>
                          </a:prstGeom>
                          <a:noFill/>
                          <a:ln>
                            <a:noFill/>
                          </a:ln>
                        </pic:spPr>
                      </pic:pic>
                    </a:graphicData>
                  </a:graphic>
                </wp:inline>
              </w:drawing>
            </w:r>
          </w:p>
        </w:tc>
        <w:tc>
          <w:tcPr>
            <w:tcW w:w="1973" w:type="pct"/>
            <w:tcMar>
              <w:left w:w="0" w:type="dxa"/>
              <w:right w:w="0" w:type="dxa"/>
            </w:tcMar>
          </w:tcPr>
          <w:p w:rsidR="00721B98" w:rsidRDefault="0018191B">
            <w:pPr>
              <w:keepNext/>
              <w:keepLines/>
              <w:spacing w:after="0"/>
              <w:jc w:val="center"/>
            </w:pPr>
            <w:r>
              <w:rPr>
                <w:noProof/>
              </w:rPr>
              <w:drawing>
                <wp:inline distT="0" distB="0" distL="0" distR="0">
                  <wp:extent cx="1122045" cy="1045845"/>
                  <wp:effectExtent l="0" t="0" r="0" b="0"/>
                  <wp:docPr id="35" name="Picture 35"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2"/>
                          <pic:cNvPicPr>
                            <a:picLocks noChangeAspect="1" noChangeArrowheads="1"/>
                          </pic:cNvPicPr>
                        </pic:nvPicPr>
                        <pic:blipFill>
                          <a:blip r:embed="rId24">
                            <a:extLst>
                              <a:ext uri="{28A0092B-C50C-407E-A947-70E740481C1C}">
                                <a14:useLocalDpi xmlns:a14="http://schemas.microsoft.com/office/drawing/2010/main" val="0"/>
                              </a:ext>
                            </a:extLst>
                          </a:blip>
                          <a:srcRect l="7680" r="7680" b="21120"/>
                          <a:stretch>
                            <a:fillRect/>
                          </a:stretch>
                        </pic:blipFill>
                        <pic:spPr bwMode="auto">
                          <a:xfrm>
                            <a:off x="0" y="0"/>
                            <a:ext cx="1122045" cy="1045845"/>
                          </a:xfrm>
                          <a:prstGeom prst="rect">
                            <a:avLst/>
                          </a:prstGeom>
                          <a:noFill/>
                          <a:ln>
                            <a:noFill/>
                          </a:ln>
                        </pic:spPr>
                      </pic:pic>
                    </a:graphicData>
                  </a:graphic>
                </wp:inline>
              </w:drawing>
            </w:r>
          </w:p>
        </w:tc>
        <w:tc>
          <w:tcPr>
            <w:tcW w:w="1194" w:type="pct"/>
            <w:tcMar>
              <w:left w:w="0" w:type="dxa"/>
              <w:right w:w="0" w:type="dxa"/>
            </w:tcMar>
          </w:tcPr>
          <w:p w:rsidR="00721B98" w:rsidRDefault="0018191B">
            <w:pPr>
              <w:keepNext/>
              <w:keepLines/>
              <w:spacing w:after="0"/>
              <w:jc w:val="right"/>
            </w:pPr>
            <w:r>
              <w:rPr>
                <w:noProof/>
              </w:rPr>
              <w:drawing>
                <wp:inline distT="0" distB="0" distL="0" distR="0">
                  <wp:extent cx="574675" cy="1038860"/>
                  <wp:effectExtent l="0" t="0" r="0" b="0"/>
                  <wp:docPr id="36" name="Picture 36"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2"/>
                          <pic:cNvPicPr>
                            <a:picLocks noChangeAspect="1" noChangeArrowheads="1"/>
                          </pic:cNvPicPr>
                        </pic:nvPicPr>
                        <pic:blipFill>
                          <a:blip r:embed="rId24">
                            <a:lum bright="6000"/>
                            <a:extLst>
                              <a:ext uri="{28A0092B-C50C-407E-A947-70E740481C1C}">
                                <a14:useLocalDpi xmlns:a14="http://schemas.microsoft.com/office/drawing/2010/main" val="0"/>
                              </a:ext>
                            </a:extLst>
                          </a:blip>
                          <a:srcRect l="64128" t="2496" r="11520" b="53185"/>
                          <a:stretch>
                            <a:fillRect/>
                          </a:stretch>
                        </pic:blipFill>
                        <pic:spPr bwMode="auto">
                          <a:xfrm>
                            <a:off x="0" y="0"/>
                            <a:ext cx="574675" cy="1038860"/>
                          </a:xfrm>
                          <a:prstGeom prst="rect">
                            <a:avLst/>
                          </a:prstGeom>
                          <a:noFill/>
                          <a:ln>
                            <a:noFill/>
                          </a:ln>
                        </pic:spPr>
                      </pic:pic>
                    </a:graphicData>
                  </a:graphic>
                </wp:inline>
              </w:drawing>
            </w:r>
          </w:p>
        </w:tc>
      </w:tr>
      <w:tr w:rsidR="00721B98">
        <w:trPr>
          <w:trHeight w:val="450"/>
        </w:trPr>
        <w:tc>
          <w:tcPr>
            <w:tcW w:w="5000" w:type="pct"/>
            <w:gridSpan w:val="3"/>
            <w:tcBorders>
              <w:bottom w:val="nil"/>
            </w:tcBorders>
            <w:tcMar>
              <w:left w:w="0" w:type="dxa"/>
              <w:right w:w="0" w:type="dxa"/>
            </w:tcMar>
          </w:tcPr>
          <w:p w:rsidR="00721B98" w:rsidRDefault="00721B98">
            <w:pPr>
              <w:keepNext/>
              <w:keepLines/>
              <w:spacing w:after="0"/>
              <w:jc w:val="center"/>
            </w:pPr>
            <w:r>
              <w:t>(g) our</w:t>
            </w:r>
            <w:r w:rsidR="00E87B47">
              <w:t xml:space="preserve"> </w:t>
            </w:r>
            <m:oMath>
              <m:sSup>
                <m:sSupPr>
                  <m:ctrlPr>
                    <w:rPr>
                      <w:rFonts w:ascii="Cambria Math" w:hAnsi="Cambria Math"/>
                      <w:i/>
                    </w:rPr>
                  </m:ctrlPr>
                </m:sSupPr>
                <m:e>
                  <m:r>
                    <w:rPr>
                      <w:rFonts w:ascii="Cambria Math" w:hAnsi="Cambria Math"/>
                    </w:rPr>
                    <m:t>L</m:t>
                  </m:r>
                </m:e>
                <m:sup>
                  <m:r>
                    <w:rPr>
                      <w:rFonts w:ascii="Cambria Math" w:hAnsi="Cambria Math"/>
                    </w:rPr>
                    <m:t>∞</m:t>
                  </m:r>
                </m:sup>
              </m:sSup>
            </m:oMath>
            <w:r w:rsidR="00E87B47">
              <w:rPr>
                <w:iCs/>
              </w:rPr>
              <w:t xml:space="preserve"> </w:t>
            </w:r>
            <w:r>
              <w:t xml:space="preserve">stretch    </w:t>
            </w:r>
            <w:r w:rsidR="005201D3">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=1.28</m:t>
              </m:r>
            </m:oMath>
            <w:r w:rsidR="005201D3">
              <w:t xml:space="preserve">   </w:t>
            </w:r>
            <m:oMath>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=1.65</m:t>
              </m:r>
            </m:oMath>
          </w:p>
          <w:p w:rsidR="00721B98" w:rsidRDefault="00721B98">
            <w:pPr>
              <w:spacing w:after="0"/>
              <w:jc w:val="center"/>
            </w:pPr>
            <w:bookmarkStart w:id="3" w:name="_Ref503245882"/>
            <w:r>
              <w:t xml:space="preserve">Figure </w:t>
            </w:r>
            <w:fldSimple w:instr=" SEQ Figure \* ARABIC ">
              <w:r w:rsidR="00FF60D9">
                <w:rPr>
                  <w:noProof/>
                </w:rPr>
                <w:t>1</w:t>
              </w:r>
            </w:fldSimple>
            <w:bookmarkEnd w:id="3"/>
            <w:r>
              <w:t>: Chart parametrization comparison.</w:t>
            </w:r>
            <w:r>
              <w:rPr>
                <w:rStyle w:val="FootnoteReference"/>
              </w:rPr>
              <w:t>1</w:t>
            </w:r>
          </w:p>
        </w:tc>
      </w:tr>
    </w:tbl>
    <w:p w:rsidR="00721B98" w:rsidRDefault="00721B98">
      <w:pPr>
        <w:spacing w:line="200" w:lineRule="exact"/>
      </w:pPr>
      <w:r>
        <w:t>We define two analogous norms over the surface of the entire mesh</w:t>
      </w:r>
      <w:r w:rsidR="00AF2713">
        <w:t xml:space="preserve"> </w:t>
      </w:r>
      <m:oMath>
        <m:r>
          <w:rPr>
            <w:rFonts w:ascii="Cambria Math" w:hAnsi="Cambria Math"/>
          </w:rPr>
          <m:t>M=</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oMath>
      <w:r>
        <w:t>:</w:t>
      </w:r>
    </w:p>
    <w:p w:rsidR="00084830" w:rsidRPr="00084830" w:rsidRDefault="00B15E0B">
      <w:pPr>
        <w:pStyle w:val="Equation"/>
      </w:pPr>
      <m:oMathPara>
        <m:oMath>
          <m:sSup>
            <m:sSupPr>
              <m:ctrlPr>
                <w:rPr>
                  <w:rFonts w:ascii="Cambria Math" w:hAnsi="Cambria Math"/>
                  <w:i/>
                </w:rPr>
              </m:ctrlPr>
            </m:sSupPr>
            <m:e>
              <m:r>
                <w:rPr>
                  <w:rFonts w:ascii="Cambria Math" w:hAnsi="Cambria Math"/>
                </w:rPr>
                <m:t>L</m:t>
              </m:r>
            </m:e>
            <m:sup>
              <m:r>
                <w:rPr>
                  <w:rFonts w:ascii="Cambria Math" w:hAnsi="Cambria Math"/>
                </w:rPr>
                <m:t>2</m:t>
              </m:r>
            </m:sup>
          </m:sSup>
          <m:d>
            <m:dPr>
              <m:ctrlPr>
                <w:rPr>
                  <w:rFonts w:ascii="Cambria Math" w:hAnsi="Cambria Math"/>
                  <w:i/>
                </w:rPr>
              </m:ctrlPr>
            </m:dPr>
            <m:e>
              <m:r>
                <w:rPr>
                  <w:rFonts w:ascii="Cambria Math" w:hAnsi="Cambria Math"/>
                </w:rPr>
                <m:t>M</m:t>
              </m:r>
            </m:e>
          </m:d>
          <m:r>
            <m:rPr>
              <m:aln/>
            </m:rPr>
            <w:rPr>
              <w:rFonts w:ascii="Cambria Math" w:hAnsi="Cambria Math"/>
            </w:rPr>
            <m:t>=</m:t>
          </m:r>
          <m:rad>
            <m:radPr>
              <m:degHide m:val="1"/>
              <m:ctrlPr>
                <w:rPr>
                  <w:rFonts w:ascii="Cambria Math" w:hAnsi="Cambria Math"/>
                  <w:i/>
                </w:rPr>
              </m:ctrlPr>
            </m:radPr>
            <m:deg/>
            <m:e>
              <m:f>
                <m:fPr>
                  <m:type m:val="lin"/>
                  <m:ctrlPr>
                    <w:rPr>
                      <w:rFonts w:ascii="Cambria Math" w:hAnsi="Cambria Math"/>
                      <w:i/>
                    </w:rPr>
                  </m:ctrlPr>
                </m:fPr>
                <m:num>
                  <m:nary>
                    <m:naryPr>
                      <m:chr m:val="∑"/>
                      <m:supHide m:val="1"/>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m:t>
                      </m:r>
                    </m:sub>
                    <m:sup/>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L</m:t>
                                  </m:r>
                                </m:e>
                                <m:sup>
                                  <m:r>
                                    <w:rPr>
                                      <w:rFonts w:ascii="Cambria Math" w:hAnsi="Cambria Math"/>
                                    </w:rPr>
                                    <m:t>2</m:t>
                                  </m:r>
                                </m:sup>
                              </m:sSup>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e>
                          </m:d>
                        </m:e>
                        <m:sup>
                          <m:r>
                            <w:rPr>
                              <w:rFonts w:ascii="Cambria Math" w:hAnsi="Cambria Math"/>
                            </w:rPr>
                            <m:t>2</m:t>
                          </m:r>
                        </m:sup>
                      </m:sSup>
                      <m:sSup>
                        <m:sSupPr>
                          <m:ctrlPr>
                            <w:rPr>
                              <w:rFonts w:ascii="Cambria Math" w:hAnsi="Cambria Math"/>
                              <w:i/>
                            </w:rPr>
                          </m:ctrlPr>
                        </m:sSupPr>
                        <m:e>
                          <m:r>
                            <w:rPr>
                              <w:rFonts w:ascii="Cambria Math" w:hAnsi="Cambria Math"/>
                            </w:rPr>
                            <m:t>A</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e>
                  </m:nary>
                </m:num>
                <m:den>
                  <m:nary>
                    <m:naryPr>
                      <m:chr m:val="∑"/>
                      <m:supHide m:val="1"/>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m:t>
                      </m:r>
                    </m:sub>
                    <m:sup/>
                    <m:e>
                      <m:sSup>
                        <m:sSupPr>
                          <m:ctrlPr>
                            <w:rPr>
                              <w:rFonts w:ascii="Cambria Math" w:hAnsi="Cambria Math"/>
                              <w:i/>
                            </w:rPr>
                          </m:ctrlPr>
                        </m:sSupPr>
                        <m:e>
                          <m:r>
                            <w:rPr>
                              <w:rFonts w:ascii="Cambria Math" w:hAnsi="Cambria Math"/>
                            </w:rPr>
                            <m:t>A</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e>
                  </m:nary>
                </m:den>
              </m:f>
            </m:e>
          </m:rad>
          <m:r>
            <m:rPr>
              <m:sty m:val="p"/>
            </m:rPr>
            <w:rPr>
              <w:rFonts w:ascii="Cambria Math" w:hAnsi="Cambria Math"/>
            </w:rPr>
            <w:br/>
          </m:r>
        </m:oMath>
        <m:oMath>
          <m:sSup>
            <m:sSupPr>
              <m:ctrlPr>
                <w:rPr>
                  <w:rFonts w:ascii="Cambria Math" w:hAnsi="Cambria Math"/>
                  <w:i/>
                </w:rPr>
              </m:ctrlPr>
            </m:sSupPr>
            <m:e>
              <m:r>
                <w:rPr>
                  <w:rFonts w:ascii="Cambria Math" w:hAnsi="Cambria Math"/>
                </w:rPr>
                <m:t>L</m:t>
              </m:r>
            </m:e>
            <m:sup>
              <m:r>
                <w:rPr>
                  <w:rFonts w:ascii="Cambria Math" w:hAnsi="Cambria Math"/>
                </w:rPr>
                <m:t>∞</m:t>
              </m:r>
            </m:sup>
          </m:sSup>
          <m:d>
            <m:dPr>
              <m:ctrlPr>
                <w:rPr>
                  <w:rFonts w:ascii="Cambria Math" w:hAnsi="Cambria Math"/>
                  <w:i/>
                </w:rPr>
              </m:ctrlPr>
            </m:dPr>
            <m:e>
              <m:r>
                <w:rPr>
                  <w:rFonts w:ascii="Cambria Math" w:hAnsi="Cambria Math"/>
                </w:rPr>
                <m:t>M</m:t>
              </m:r>
            </m:e>
          </m:d>
          <m:r>
            <m:rPr>
              <m:aln/>
            </m:rP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m:t>
                  </m:r>
                </m:lim>
              </m:limLow>
            </m:fName>
            <m:e>
              <m:sSup>
                <m:sSupPr>
                  <m:ctrlPr>
                    <w:rPr>
                      <w:rFonts w:ascii="Cambria Math" w:hAnsi="Cambria Math"/>
                      <w:i/>
                    </w:rPr>
                  </m:ctrlPr>
                </m:sSupPr>
                <m:e>
                  <m:r>
                    <w:rPr>
                      <w:rFonts w:ascii="Cambria Math" w:hAnsi="Cambria Math"/>
                    </w:rPr>
                    <m:t>L</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e>
          </m:func>
        </m:oMath>
      </m:oMathPara>
    </w:p>
    <w:p w:rsidR="00721B98" w:rsidRDefault="00721B98">
      <w:pPr>
        <w:spacing w:line="200" w:lineRule="exact"/>
      </w:pPr>
      <w:r>
        <w:t>where</w:t>
      </w:r>
      <w:r w:rsidR="00084830">
        <w:t xml:space="preserve"> </w:t>
      </w:r>
      <m:oMath>
        <m:sSup>
          <m:sSupPr>
            <m:ctrlPr>
              <w:rPr>
                <w:rFonts w:ascii="Cambria Math" w:hAnsi="Cambria Math"/>
                <w:i/>
              </w:rPr>
            </m:ctrlPr>
          </m:sSupPr>
          <m:e>
            <m:r>
              <w:rPr>
                <w:rFonts w:ascii="Cambria Math" w:hAnsi="Cambria Math"/>
              </w:rPr>
              <m:t>A</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oMath>
      <w:r w:rsidR="00084830">
        <w:t xml:space="preserve"> </w:t>
      </w:r>
      <w:r>
        <w:t>is the surface area of triangle</w:t>
      </w:r>
      <w:r w:rsidR="00084830">
        <w:t xml:space="preserv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084830">
        <w:t xml:space="preserve"> in 3D.  The </w:t>
      </w:r>
      <m:oMath>
        <m:sSup>
          <m:sSupPr>
            <m:ctrlPr>
              <w:rPr>
                <w:rFonts w:ascii="Cambria Math" w:hAnsi="Cambria Math"/>
                <w:i/>
              </w:rPr>
            </m:ctrlPr>
          </m:sSupPr>
          <m:e>
            <m:r>
              <w:rPr>
                <w:rFonts w:ascii="Cambria Math" w:hAnsi="Cambria Math"/>
              </w:rPr>
              <m:t>L</m:t>
            </m:r>
          </m:e>
          <m:sup>
            <m:r>
              <w:rPr>
                <w:rFonts w:ascii="Cambria Math" w:hAnsi="Cambria Math"/>
              </w:rPr>
              <m:t>2</m:t>
            </m:r>
          </m:sup>
        </m:sSup>
      </m:oMath>
      <w:r>
        <w:t xml:space="preserve"> norm measures the overall ability of the parametrization to support high-frequency textures, while</w:t>
      </w:r>
      <w:r w:rsidR="00084830">
        <w:t xml:space="preserve"> </w:t>
      </w:r>
      <m:oMath>
        <m:sSup>
          <m:sSupPr>
            <m:ctrlPr>
              <w:rPr>
                <w:rFonts w:ascii="Cambria Math" w:hAnsi="Cambria Math"/>
                <w:i/>
              </w:rPr>
            </m:ctrlPr>
          </m:sSupPr>
          <m:e>
            <m:r>
              <w:rPr>
                <w:rFonts w:ascii="Cambria Math" w:hAnsi="Cambria Math"/>
              </w:rPr>
              <m:t>L</m:t>
            </m:r>
          </m:e>
          <m:sup>
            <m:r>
              <w:rPr>
                <w:rFonts w:ascii="Cambria Math" w:hAnsi="Cambria Math"/>
              </w:rPr>
              <m:t>∞</m:t>
            </m:r>
          </m:sup>
        </m:sSup>
      </m:oMath>
      <w:r w:rsidR="00084830">
        <w:t xml:space="preserve"> </w:t>
      </w:r>
      <w:r>
        <w:t>measures its worst-case ability.</w:t>
      </w:r>
    </w:p>
    <w:p w:rsidR="00721B98" w:rsidRDefault="00721B98">
      <w:pPr>
        <w:spacing w:line="200" w:lineRule="exact"/>
      </w:pPr>
      <w:r>
        <w:t>We normalize stretch values by scaling the texture domain so that its area equals the surface area in 3D.  Thus, 1.0 is a lower bound for either norm on any parametrization.  Alternately, stretch can be normalized without explicitly scaling the texture domain by multiplying with the factor</w:t>
      </w:r>
    </w:p>
    <w:p w:rsidR="00721B98" w:rsidRDefault="00B15E0B">
      <w:pPr>
        <w:pStyle w:val="Equation"/>
      </w:pPr>
      <m:oMathPara>
        <m:oMath>
          <m:rad>
            <m:radPr>
              <m:degHide m:val="1"/>
              <m:ctrlPr>
                <w:rPr>
                  <w:rFonts w:ascii="Cambria Math" w:hAnsi="Cambria Math"/>
                  <w:i/>
                </w:rPr>
              </m:ctrlPr>
            </m:radPr>
            <m:deg/>
            <m:e>
              <m:f>
                <m:fPr>
                  <m:type m:val="lin"/>
                  <m:ctrlPr>
                    <w:rPr>
                      <w:rFonts w:ascii="Cambria Math" w:hAnsi="Cambria Math"/>
                      <w:i/>
                    </w:rPr>
                  </m:ctrlPr>
                </m:fPr>
                <m:num>
                  <m:nary>
                    <m:naryPr>
                      <m:chr m:val="∑"/>
                      <m:supHide m:val="1"/>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m:t>
                      </m:r>
                    </m:sub>
                    <m:sup/>
                    <m:e>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e>
                  </m:nary>
                </m:num>
                <m:den>
                  <m:nary>
                    <m:naryPr>
                      <m:chr m:val="∑"/>
                      <m:supHide m:val="1"/>
                      <m:ctrlPr>
                        <w:rPr>
                          <w:rFonts w:ascii="Cambria Math" w:hAnsi="Cambria Math"/>
                          <w:i/>
                        </w:rPr>
                      </m:ctrlPr>
                    </m:naryPr>
                    <m:sub>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m:t>
                      </m:r>
                    </m:sub>
                    <m:sup/>
                    <m:e>
                      <m:sSup>
                        <m:sSupPr>
                          <m:ctrlPr>
                            <w:rPr>
                              <w:rFonts w:ascii="Cambria Math" w:hAnsi="Cambria Math"/>
                              <w:i/>
                            </w:rPr>
                          </m:ctrlPr>
                        </m:sSupPr>
                        <m:e>
                          <m:r>
                            <w:rPr>
                              <w:rFonts w:ascii="Cambria Math" w:hAnsi="Cambria Math"/>
                            </w:rPr>
                            <m:t>A</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e>
                      </m:d>
                    </m:e>
                  </m:nary>
                </m:den>
              </m:f>
            </m:e>
          </m:rad>
          <m:r>
            <w:rPr>
              <w:rFonts w:ascii="Cambria Math" w:hAnsi="Cambria Math"/>
            </w:rPr>
            <m:t>.</m:t>
          </m:r>
        </m:oMath>
      </m:oMathPara>
    </w:p>
    <w:p w:rsidR="00721B98" w:rsidRDefault="00721B98">
      <w:pPr>
        <w:spacing w:before="120"/>
      </w:pPr>
      <w:r>
        <w:t>To minimize our nonlinear metrics</w:t>
      </w:r>
      <w:r w:rsidR="00084830">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d>
          <m:dPr>
            <m:ctrlPr>
              <w:rPr>
                <w:rFonts w:ascii="Cambria Math" w:hAnsi="Cambria Math"/>
                <w:i/>
              </w:rPr>
            </m:ctrlPr>
          </m:dPr>
          <m:e>
            <m:r>
              <w:rPr>
                <w:rFonts w:ascii="Cambria Math" w:hAnsi="Cambria Math"/>
              </w:rPr>
              <m:t>M</m:t>
            </m:r>
          </m:e>
        </m:d>
      </m:oMath>
      <w:r w:rsidR="00084830">
        <w:t xml:space="preserve"> and </w:t>
      </w:r>
      <m:oMath>
        <m:sSup>
          <m:sSupPr>
            <m:ctrlPr>
              <w:rPr>
                <w:rFonts w:ascii="Cambria Math" w:hAnsi="Cambria Math"/>
                <w:i/>
              </w:rPr>
            </m:ctrlPr>
          </m:sSupPr>
          <m:e>
            <m:r>
              <w:rPr>
                <w:rFonts w:ascii="Cambria Math" w:hAnsi="Cambria Math"/>
              </w:rPr>
              <m:t>L</m:t>
            </m:r>
          </m:e>
          <m:sup>
            <m:r>
              <w:rPr>
                <w:rFonts w:ascii="Cambria Math" w:hAnsi="Cambria Math"/>
              </w:rPr>
              <m:t>∞</m:t>
            </m:r>
          </m:sup>
        </m:sSup>
        <m:d>
          <m:dPr>
            <m:ctrlPr>
              <w:rPr>
                <w:rFonts w:ascii="Cambria Math" w:hAnsi="Cambria Math"/>
                <w:i/>
              </w:rPr>
            </m:ctrlPr>
          </m:dPr>
          <m:e>
            <m:r>
              <w:rPr>
                <w:rFonts w:ascii="Cambria Math" w:hAnsi="Cambria Math"/>
              </w:rPr>
              <m:t>M</m:t>
            </m:r>
          </m:e>
        </m:d>
      </m:oMath>
      <w:r>
        <w:t>, we begin with a uniform-edge-spring solution, and then perform several optimization iterations.  Within each iteration, we consider vert</w:t>
      </w:r>
      <w:r>
        <w:t>i</w:t>
      </w:r>
      <w:r>
        <w:t>ces in decreasing order of neighborhood stretch.  For each vertex, we perform a line search minimization along a randomly chosen search direction in the</w:t>
      </w:r>
      <w:r w:rsidR="00084830">
        <w:t xml:space="preserve"> </w:t>
      </w:r>
      <m:oMath>
        <m:d>
          <m:dPr>
            <m:ctrlPr>
              <w:rPr>
                <w:rFonts w:ascii="Cambria Math" w:hAnsi="Cambria Math"/>
                <w:i/>
              </w:rPr>
            </m:ctrlPr>
          </m:dPr>
          <m:e>
            <m:r>
              <w:rPr>
                <w:rFonts w:ascii="Cambria Math" w:hAnsi="Cambria Math"/>
              </w:rPr>
              <m:t>s,t</m:t>
            </m:r>
          </m:e>
        </m:d>
      </m:oMath>
      <w:r>
        <w:t xml:space="preserve"> parametric domain.  Because all other vertices are held fixed, the stretch metric only needs local comp</w:t>
      </w:r>
      <w:r>
        <w:t>u</w:t>
      </w:r>
      <w:r>
        <w:t>tation over the neighborhood.  Since the metric is infinite for degenerate or flipped triangles, the line search is naturally co</w:t>
      </w:r>
      <w:r>
        <w:t>n</w:t>
      </w:r>
      <w:r>
        <w:t>strained within the kernel of the vertex’s neighborhood.  In successive iterations, we gradually decrease the convergence tolerance in the 1D line search using the schedule</w:t>
      </w:r>
      <w:r w:rsidR="00084830">
        <w:t xml:space="preserve"> </w:t>
      </w:r>
      <m:oMath>
        <m:r>
          <w:rPr>
            <w:rFonts w:ascii="Cambria Math" w:hAnsi="Cambria Math"/>
          </w:rPr>
          <m:t>1</m:t>
        </m:r>
        <m:r>
          <m:rPr>
            <m:lit/>
          </m:rPr>
          <w:rPr>
            <w:rFonts w:ascii="Cambria Math" w:hAnsi="Cambria Math"/>
          </w:rPr>
          <m:t>/</m:t>
        </m:r>
        <m:r>
          <w:rPr>
            <w:rFonts w:ascii="Cambria Math" w:hAnsi="Cambria Math"/>
          </w:rPr>
          <m:t>i</m:t>
        </m:r>
      </m:oMath>
      <w:r>
        <w:t xml:space="preserve"> where </w:t>
      </w:r>
      <m:oMath>
        <m:r>
          <w:rPr>
            <w:rFonts w:ascii="Cambria Math" w:hAnsi="Cambria Math"/>
          </w:rPr>
          <m:t>i</m:t>
        </m:r>
      </m:oMath>
      <w:r>
        <w:t xml:space="preserve"> is the iteration number.  For the</w:t>
      </w:r>
      <w:r w:rsidR="00084830">
        <w:t xml:space="preserve"> </w:t>
      </w:r>
      <m:oMath>
        <m:sSup>
          <m:sSupPr>
            <m:ctrlPr>
              <w:rPr>
                <w:rFonts w:ascii="Cambria Math" w:hAnsi="Cambria Math"/>
                <w:i/>
              </w:rPr>
            </m:ctrlPr>
          </m:sSupPr>
          <m:e>
            <m:r>
              <w:rPr>
                <w:rFonts w:ascii="Cambria Math" w:hAnsi="Cambria Math"/>
              </w:rPr>
              <m:t>L</m:t>
            </m:r>
          </m:e>
          <m:sup>
            <m:r>
              <w:rPr>
                <w:rFonts w:ascii="Cambria Math" w:hAnsi="Cambria Math"/>
              </w:rPr>
              <m:t>∞</m:t>
            </m:r>
          </m:sup>
        </m:sSup>
      </m:oMath>
      <w:r w:rsidR="00084830">
        <w:rPr>
          <w:iCs/>
        </w:rPr>
        <w:t xml:space="preserve"> </w:t>
      </w:r>
      <w:r>
        <w:t>optimization, we obtain even better results by using our</w:t>
      </w:r>
      <w:r w:rsidR="00084830">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oMath>
      <w:r>
        <w:t xml:space="preserve"> solution as its starting point.</w:t>
      </w:r>
    </w:p>
    <w:p w:rsidR="00721B98" w:rsidRDefault="00721B98">
      <w:r>
        <w:fldChar w:fldCharType="begin"/>
      </w:r>
      <w:r>
        <w:instrText xml:space="preserve"> REF _Ref503245882 \h </w:instrText>
      </w:r>
      <w:r>
        <w:fldChar w:fldCharType="separate"/>
      </w:r>
      <w:r w:rsidR="00FF60D9">
        <w:t xml:space="preserve">Figure </w:t>
      </w:r>
      <w:r w:rsidR="00FF60D9">
        <w:rPr>
          <w:noProof/>
        </w:rPr>
        <w:t>1</w:t>
      </w:r>
      <w:r>
        <w:fldChar w:fldCharType="end"/>
      </w:r>
      <w:r>
        <w:t xml:space="preserve"> compares our metric with alternatives.</w:t>
      </w:r>
      <w:r>
        <w:rPr>
          <w:rStyle w:val="FootnoteReference"/>
          <w:vanish/>
        </w:rPr>
        <w:footnoteReference w:id="1"/>
      </w:r>
      <w:r>
        <w:t xml:space="preserve">  For each metric, we used the same optimization procedure described above.  In all cases, boundary vertices were fixed by arc-length.  For each parametrization, we created a 128</w:t>
      </w:r>
      <w:r>
        <w:sym w:font="Symbol" w:char="F0B4"/>
      </w:r>
      <w:r>
        <w:t>128 image in the texture domain by sampling a procedural 3D checkered pattern on the parametrized surface.  For improved filtering, we used 4x4 supe</w:t>
      </w:r>
      <w:r>
        <w:t>r</w:t>
      </w:r>
      <w:r>
        <w:t>sampling.  As can be seen in the resulting textured models, parametrizations optimized using our metrics are better at captu</w:t>
      </w:r>
      <w:r>
        <w:t>r</w:t>
      </w:r>
      <w:r>
        <w:t>ing high-frequency detail everywhere over the surface.  In (b-d), note the loss of resolution on the ears where stretch error is high.</w:t>
      </w:r>
      <w:r>
        <w:rPr>
          <w:rStyle w:val="FootnoteReference"/>
        </w:rPr>
        <w:footnoteReference w:id="2"/>
      </w:r>
      <w:r>
        <w:t xml:space="preserve">  The area-preserving parametrization in (e) minimizes the Maillot buckling term only.  Although it has better spatial distribution than (b-d), note how it undersamples certain directions, causing dire</w:t>
      </w:r>
      <w:r>
        <w:t>c</w:t>
      </w:r>
      <w:r>
        <w:t>tional blur on the chin, sides, and ears.</w:t>
      </w:r>
    </w:p>
    <w:p w:rsidR="00721B98" w:rsidRDefault="00721B98">
      <w:pPr>
        <w:pStyle w:val="Heading1"/>
      </w:pPr>
      <w:r>
        <w:t>Our PM parametrization scheme</w:t>
      </w:r>
    </w:p>
    <w:p w:rsidR="00721B98" w:rsidRDefault="00721B98">
      <w:r>
        <w:t>In this section we present the steps of our PM parametrization scheme.  We first introduce some definitions and assumptions.</w:t>
      </w:r>
    </w:p>
    <w:p w:rsidR="00721B98" w:rsidRDefault="00721B98">
      <w:r>
        <w:t xml:space="preserve">Let a </w:t>
      </w:r>
      <w:r>
        <w:rPr>
          <w:i/>
          <w:iCs/>
        </w:rPr>
        <w:t>chart corner</w:t>
      </w:r>
      <w:r>
        <w:t xml:space="preserve"> be any vertex adjacent to 3 or more charts, and let a </w:t>
      </w:r>
      <w:r>
        <w:rPr>
          <w:i/>
          <w:iCs/>
        </w:rPr>
        <w:t>chart</w:t>
      </w:r>
      <w:r>
        <w:t xml:space="preserve"> </w:t>
      </w:r>
      <w:r>
        <w:rPr>
          <w:i/>
          <w:iCs/>
        </w:rPr>
        <w:t>boundary</w:t>
      </w:r>
      <w:r>
        <w:t xml:space="preserve"> be the path of edges separating charts b</w:t>
      </w:r>
      <w:r>
        <w:t>e</w:t>
      </w:r>
      <w:r>
        <w:t xml:space="preserve">tween two corners.  We define the </w:t>
      </w:r>
      <w:r>
        <w:rPr>
          <w:i/>
          <w:iCs/>
        </w:rPr>
        <w:t>neighborhood</w:t>
      </w:r>
      <w:r>
        <w:t xml:space="preserve"> of a vertex as the ring of faces adjacent to the vertex.</w:t>
      </w:r>
    </w:p>
    <w:p w:rsidR="00721B98" w:rsidRDefault="00B15E0B">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9" type="#_x0000_t75" style="position:absolute;left:0;text-align:left;margin-left:178.3pt;margin-top:4.35pt;width:48.15pt;height:92.15pt;z-index:251656704;mso-wrap-edited:f;mso-wrap-distance-left:5.05pt;mso-wrap-distance-right:0;mso-position-horizontal:right" wrapcoords="4734 169 296 5569 0 6244 2959 7931 4734 8269 10356 10969 5622 11138 2959 12150 2959 13669 592 16369 0 17381 1184 18394 3847 19069 9764 21431 10060 21431 11244 21431 21008 17719 21600 17381 21008 16369 18641 13669 18937 12150 15978 11138 10948 10969 16570 8269 19233 7425 21600 6244 21304 5569 16570 169 4734 169">
            <v:imagedata r:id="rId25" o:title=""/>
            <w10:wrap type="square"/>
          </v:shape>
          <o:OLEObject Type="Embed" ProgID="Word.Picture.8" ShapeID="_x0000_s2199" DrawAspect="Content" ObjectID="_1425911828" r:id="rId26"/>
        </w:pict>
      </w:r>
      <w:r w:rsidR="00721B98">
        <w:t>Our PM is based on the half-edge collapse oper</w:t>
      </w:r>
      <w:r w:rsidR="00721B98">
        <w:t>a</w:t>
      </w:r>
      <w:r w:rsidR="00721B98">
        <w:t>tion</w:t>
      </w:r>
      <w:r w:rsidR="008A170B">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oMath>
      <w:r w:rsidR="00721B98">
        <w:t xml:space="preserve"> which affects the neighborhood of</w:t>
      </w:r>
      <w:r w:rsidR="008A170B">
        <w:t xml:space="preserve">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rsidR="00721B98">
        <w:t xml:space="preserve"> as shown on the right and leaves the position and attributes of</w:t>
      </w:r>
      <w:r w:rsidR="008A170B">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rsidR="00721B98">
        <w:t xml:space="preserve"> unchanged </w:t>
      </w:r>
      <w:r w:rsidR="00721B98">
        <w:fldChar w:fldCharType="begin"/>
      </w:r>
      <w:r w:rsidR="00721B98">
        <w:instrText xml:space="preserve"> REF _Ref503074018 \r \h </w:instrText>
      </w:r>
      <w:r w:rsidR="00721B98">
        <w:fldChar w:fldCharType="separate"/>
      </w:r>
      <w:r w:rsidR="00FF60D9">
        <w:t>[16]</w:t>
      </w:r>
      <w:r w:rsidR="00721B98">
        <w:fldChar w:fldCharType="end"/>
      </w:r>
      <w:r w:rsidR="00721B98">
        <w:t xml:space="preserve">.  We prefer the half-edge to the full-edge collapse to avoid writes to the vertex buffer during runtime LOD changes.  Therefore, </w:t>
      </w:r>
      <m:oMath>
        <m:d>
          <m:dPr>
            <m:ctrlPr>
              <w:rPr>
                <w:rFonts w:ascii="Cambria Math" w:hAnsi="Cambria Math"/>
                <w:i/>
              </w:rPr>
            </m:ctrlPr>
          </m:dPr>
          <m:e>
            <m:r>
              <w:rPr>
                <w:rFonts w:ascii="Cambria Math" w:hAnsi="Cambria Math"/>
              </w:rPr>
              <m:t>s,t</m:t>
            </m:r>
          </m:e>
        </m:d>
      </m:oMath>
      <w:r w:rsidR="00721B98">
        <w:t xml:space="preserve"> texture coordinates at any vertex must be the same at all LOD levels.  Since a vertex on a chart boundary has different</w:t>
      </w:r>
      <w:r w:rsidR="008A170B">
        <w:t xml:space="preserve"> </w:t>
      </w:r>
      <m:oMath>
        <m:d>
          <m:dPr>
            <m:ctrlPr>
              <w:rPr>
                <w:rFonts w:ascii="Cambria Math" w:hAnsi="Cambria Math"/>
                <w:i/>
              </w:rPr>
            </m:ctrlPr>
          </m:dPr>
          <m:e>
            <m:r>
              <w:rPr>
                <w:rFonts w:ascii="Cambria Math" w:hAnsi="Cambria Math"/>
              </w:rPr>
              <m:t>s,t</m:t>
            </m:r>
          </m:e>
        </m:d>
      </m:oMath>
      <w:r w:rsidR="00721B98">
        <w:t xml:space="preserve"> coordinates on each chart, these must be stored at the corners of mesh faces </w:t>
      </w:r>
      <w:r w:rsidR="00721B98">
        <w:fldChar w:fldCharType="begin"/>
      </w:r>
      <w:r w:rsidR="00721B98">
        <w:instrText xml:space="preserve"> REF _Ref501772595 \r \h </w:instrText>
      </w:r>
      <w:r w:rsidR="00721B98">
        <w:fldChar w:fldCharType="separate"/>
      </w:r>
      <w:r w:rsidR="00FF60D9">
        <w:t>[10]</w:t>
      </w:r>
      <w:r w:rsidR="00721B98">
        <w:fldChar w:fldCharType="end"/>
      </w:r>
      <w:r w:rsidR="00721B98">
        <w:t>.</w:t>
      </w:r>
    </w:p>
    <w:p w:rsidR="00721B98" w:rsidRDefault="00721B98">
      <w:r>
        <w:t>To create a texture atlas over a PM, we must enforce the following constraints:</w:t>
      </w:r>
    </w:p>
    <w:p w:rsidR="00721B98" w:rsidRDefault="00721B98">
      <w:r>
        <w:t>(1) mesh faces cannot span more than one chart, since it is i</w:t>
      </w:r>
      <w:r>
        <w:t>m</w:t>
      </w:r>
      <w:r>
        <w:t>practical to specify and render disjoint pieces of texture over any single triangle.</w:t>
      </w:r>
    </w:p>
    <w:p w:rsidR="00721B98" w:rsidRDefault="00721B98">
      <w:r>
        <w:t>(2) chart boundaries must be straight in the parametric domain, since each chart boundary is generally simplified to a single edge in the PM base mesh.</w:t>
      </w:r>
    </w:p>
    <w:p w:rsidR="00721B98" w:rsidRDefault="00721B98">
      <w:r>
        <w:t xml:space="preserve">These constraints restrict the partition of the mesh into charts (Section </w:t>
      </w:r>
      <w:r>
        <w:fldChar w:fldCharType="begin"/>
      </w:r>
      <w:r>
        <w:instrText xml:space="preserve"> REF _Ref503179141 \r \h </w:instrText>
      </w:r>
      <w:r>
        <w:fldChar w:fldCharType="separate"/>
      </w:r>
      <w:r w:rsidR="00FF60D9">
        <w:t>4.1</w:t>
      </w:r>
      <w:r>
        <w:fldChar w:fldCharType="end"/>
      </w:r>
      <w:r>
        <w:t>) and the mesh simp</w:t>
      </w:r>
      <w:r w:rsidR="00932427">
        <w:t xml:space="preserve">lification sequence (Section </w:t>
      </w:r>
      <w:r w:rsidR="00932427">
        <w:fldChar w:fldCharType="begin"/>
      </w:r>
      <w:r w:rsidR="00932427">
        <w:instrText xml:space="preserve"> REF _Ref514083367 \r \h </w:instrText>
      </w:r>
      <w:r w:rsidR="00932427">
        <w:fldChar w:fldCharType="separate"/>
      </w:r>
      <w:r w:rsidR="00FF60D9">
        <w:t>4.4</w:t>
      </w:r>
      <w:r w:rsidR="00932427">
        <w:fldChar w:fldCharType="end"/>
      </w:r>
      <w:r>
        <w:t>).</w:t>
      </w:r>
    </w:p>
    <w:p w:rsidR="00721B98" w:rsidRDefault="00721B98">
      <w:pPr>
        <w:pStyle w:val="Heading2"/>
      </w:pPr>
      <w:bookmarkStart w:id="4" w:name="_Ref503179141"/>
      <w:r>
        <w:t>Partition mesh into charts</w:t>
      </w:r>
      <w:bookmarkEnd w:id="4"/>
    </w:p>
    <w:p w:rsidR="00721B98" w:rsidRDefault="00721B98">
      <w:r>
        <w:t>The first step is to partition the mesh into a set of charts: regions with disk-like topology.  Ideally one could simultaneously search over the discrete space of possible chart decompositions and the continuous space of parametrizations allowed by each decompos</w:t>
      </w:r>
      <w:r>
        <w:t>i</w:t>
      </w:r>
      <w:r>
        <w:t>tion.  Clearly this is intractable.  In our system we first partition the mesh using a greedy chart-merging approach.  It is similar to simplification schemes based on the greedy growth of “superfa</w:t>
      </w:r>
      <w:r>
        <w:t>c</w:t>
      </w:r>
      <w:r>
        <w:t xml:space="preserve">es” </w:t>
      </w:r>
      <w:r>
        <w:fldChar w:fldCharType="begin"/>
      </w:r>
      <w:r>
        <w:instrText xml:space="preserve"> REF _Ref501772273 \r \h </w:instrText>
      </w:r>
      <w:r>
        <w:fldChar w:fldCharType="separate"/>
      </w:r>
      <w:r w:rsidR="00FF60D9">
        <w:t>[9]</w:t>
      </w:r>
      <w:r>
        <w:fldChar w:fldCharType="end"/>
      </w:r>
      <w:r>
        <w:fldChar w:fldCharType="begin"/>
      </w:r>
      <w:r>
        <w:instrText xml:space="preserve"> REF _Ref501772275 \r \h </w:instrText>
      </w:r>
      <w:r>
        <w:fldChar w:fldCharType="separate"/>
      </w:r>
      <w:r w:rsidR="00FF60D9">
        <w:t>[15]</w:t>
      </w:r>
      <w:r>
        <w:fldChar w:fldCharType="end"/>
      </w:r>
      <w:r>
        <w:t xml:space="preserve">, and to the independent work by Garland et al. </w:t>
      </w:r>
      <w:r>
        <w:fldChar w:fldCharType="begin"/>
      </w:r>
      <w:r>
        <w:instrText xml:space="preserve"> REF _Ref513019801 \r \h </w:instrText>
      </w:r>
      <w:r>
        <w:fldChar w:fldCharType="separate"/>
      </w:r>
      <w:r w:rsidR="00FF60D9">
        <w:t>[6]</w:t>
      </w:r>
      <w:r>
        <w:fldChar w:fldCharType="end"/>
      </w:r>
      <w:r>
        <w:t>.</w:t>
      </w:r>
    </w:p>
    <w:p w:rsidR="00721B98" w:rsidRDefault="00721B98">
      <w:r>
        <w:t xml:space="preserve">Initially, each face is assigned to be its own chart.  For each pair of adjacent charts, we consider the operation of merging the two charts into one, and enter this candidate operation into a priority queue according to a computed cost.  As in </w:t>
      </w:r>
      <w:r>
        <w:fldChar w:fldCharType="begin"/>
      </w:r>
      <w:r>
        <w:instrText xml:space="preserve"> REF _Ref513019801 \r \h </w:instrText>
      </w:r>
      <w:r>
        <w:fldChar w:fldCharType="separate"/>
      </w:r>
      <w:r w:rsidR="00FF60D9">
        <w:t>[6]</w:t>
      </w:r>
      <w:r>
        <w:fldChar w:fldCharType="end"/>
      </w:r>
      <w:r>
        <w:t>, the merge oper</w:t>
      </w:r>
      <w:r>
        <w:t>a</w:t>
      </w:r>
      <w:r>
        <w:t xml:space="preserve">tion is assigned a cost that measures both its planarity and compactness.  We measure planarity as the mean-squared distance of the chart to the best-fitting plane through the chart, defined as a continuous surface integral (unlike </w:t>
      </w:r>
      <w:r>
        <w:fldChar w:fldCharType="begin"/>
      </w:r>
      <w:r>
        <w:instrText xml:space="preserve"> REF _Ref513019801 \r \h </w:instrText>
      </w:r>
      <w:r>
        <w:fldChar w:fldCharType="separate"/>
      </w:r>
      <w:r w:rsidR="00FF60D9">
        <w:t>[6]</w:t>
      </w:r>
      <w:r>
        <w:fldChar w:fldCharType="end"/>
      </w:r>
      <w:r>
        <w:t xml:space="preserve"> which evaluates it only at the vertices).  We measure compactness simply as the squared perimeter length.</w:t>
      </w:r>
    </w:p>
    <w:p w:rsidR="00721B98" w:rsidRDefault="00721B98">
      <w:r>
        <w:t xml:space="preserve">We iteratively apply the merge operation with lowest cost, and update costs of neighboring candidate merge operations.  The process ends when the cost exceeds a user-specified threshold. </w:t>
      </w:r>
    </w:p>
    <w:p w:rsidR="00721B98" w:rsidRDefault="00721B98">
      <w:r>
        <w:t>A chart merge operation is disallowed if it results in any chart with fewer than 3 corners.  It is also disallowed if the boundary between the new chart and any adjacent chart consists of more than one connected component (e.g. one isolated vertex and one path of edges).  This constraint also guarantees that charts remain homeomorphic to discs.</w:t>
      </w:r>
    </w:p>
    <w:p w:rsidR="00721B98" w:rsidRDefault="00721B98">
      <w:r>
        <w:t>Once the charts are formed, they define the set of chart corner vertices.  Note that these corner vertices in</w:t>
      </w:r>
      <w:r w:rsidR="008A170B">
        <w:t xml:space="preserve"> </w:t>
      </w:r>
      <m:oMath>
        <m:sSup>
          <m:sSupPr>
            <m:ctrlPr>
              <w:rPr>
                <w:rFonts w:ascii="Cambria Math" w:hAnsi="Cambria Math"/>
                <w:i/>
              </w:rPr>
            </m:ctrlPr>
          </m:sSupPr>
          <m:e>
            <m:r>
              <w:rPr>
                <w:rFonts w:ascii="Cambria Math" w:hAnsi="Cambria Math"/>
              </w:rPr>
              <m:t>M</m:t>
            </m:r>
          </m:e>
          <m:sup>
            <m:r>
              <w:rPr>
                <w:rFonts w:ascii="Cambria Math" w:hAnsi="Cambria Math"/>
              </w:rPr>
              <m:t>n</m:t>
            </m:r>
          </m:sup>
        </m:sSup>
      </m:oMath>
      <w:r>
        <w:t xml:space="preserve"> must appear as vertices in the base mesh</w:t>
      </w:r>
      <w:r w:rsidR="00E87B47">
        <w:t xml:space="preserve"> </w:t>
      </w:r>
      <m:oMath>
        <m:sSup>
          <m:sSupPr>
            <m:ctrlPr>
              <w:rPr>
                <w:rFonts w:ascii="Cambria Math" w:hAnsi="Cambria Math"/>
                <w:i/>
              </w:rPr>
            </m:ctrlPr>
          </m:sSupPr>
          <m:e>
            <m:r>
              <w:rPr>
                <w:rFonts w:ascii="Cambria Math" w:hAnsi="Cambria Math"/>
              </w:rPr>
              <m:t>M</m:t>
            </m:r>
          </m:e>
          <m:sup>
            <m:r>
              <w:rPr>
                <w:rFonts w:ascii="Cambria Math" w:hAnsi="Cambria Math"/>
              </w:rPr>
              <m:t>0</m:t>
            </m:r>
          </m:sup>
        </m:sSup>
      </m:oMath>
      <w:r>
        <w:t xml:space="preserve"> due to the constrained half-edge collapses.  Therefore, we would like each chart boundary to closely align with the straight line segment between its adjacent two corners, so as to not be a limiting factor in the simplification quality.  We straighten each boundary by computing a shortest path over mesh edges, constrained not to intersect other chart boundaries.</w:t>
      </w:r>
    </w:p>
    <w:p w:rsidR="00721B98" w:rsidRDefault="00721B98">
      <w:r>
        <w:t xml:space="preserve">Results of the initial chart partition, and the subsequent boundary straightening are shown in </w:t>
      </w:r>
      <w:r>
        <w:fldChar w:fldCharType="begin"/>
      </w:r>
      <w:r>
        <w:instrText xml:space="preserve"> REF _Ref502745226 \h </w:instrText>
      </w:r>
      <w:r>
        <w:fldChar w:fldCharType="separate"/>
      </w:r>
      <w:r w:rsidR="00FF60D9">
        <w:t xml:space="preserve">Figure </w:t>
      </w:r>
      <w:r w:rsidR="00FF60D9">
        <w:rPr>
          <w:noProof/>
        </w:rPr>
        <w:t>2</w:t>
      </w:r>
      <w:r>
        <w:fldChar w:fldCharType="end"/>
      </w:r>
      <w:r>
        <w:t>.  Note that chart boundaries align with important features in the mesh.</w:t>
      </w:r>
    </w:p>
    <w:tbl>
      <w:tblPr>
        <w:tblW w:w="0" w:type="auto"/>
        <w:tblCellMar>
          <w:left w:w="0" w:type="dxa"/>
          <w:right w:w="0" w:type="dxa"/>
        </w:tblCellMar>
        <w:tblLook w:val="0000" w:firstRow="0" w:lastRow="0" w:firstColumn="0" w:lastColumn="0" w:noHBand="0" w:noVBand="0"/>
      </w:tblPr>
      <w:tblGrid>
        <w:gridCol w:w="1879"/>
        <w:gridCol w:w="1566"/>
        <w:gridCol w:w="1350"/>
      </w:tblGrid>
      <w:tr w:rsidR="00721B98">
        <w:tc>
          <w:tcPr>
            <w:tcW w:w="0" w:type="auto"/>
            <w:vAlign w:val="center"/>
          </w:tcPr>
          <w:p w:rsidR="00721B98" w:rsidRDefault="0018191B">
            <w:pPr>
              <w:spacing w:after="0"/>
              <w:jc w:val="center"/>
            </w:pPr>
            <w:r>
              <w:rPr>
                <w:noProof/>
              </w:rPr>
              <w:drawing>
                <wp:inline distT="0" distB="0" distL="0" distR="0">
                  <wp:extent cx="1205230" cy="1274445"/>
                  <wp:effectExtent l="0" t="0" r="0" b="0"/>
                  <wp:docPr id="42" name="Picture 42"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1"/>
                          <pic:cNvPicPr>
                            <a:picLocks noChangeAspect="1" noChangeArrowheads="1"/>
                          </pic:cNvPicPr>
                        </pic:nvPicPr>
                        <pic:blipFill>
                          <a:blip r:embed="rId27">
                            <a:extLst>
                              <a:ext uri="{28A0092B-C50C-407E-A947-70E740481C1C}">
                                <a14:useLocalDpi xmlns:a14="http://schemas.microsoft.com/office/drawing/2010/main" val="0"/>
                              </a:ext>
                            </a:extLst>
                          </a:blip>
                          <a:srcRect l="3999" r="960"/>
                          <a:stretch>
                            <a:fillRect/>
                          </a:stretch>
                        </pic:blipFill>
                        <pic:spPr bwMode="auto">
                          <a:xfrm>
                            <a:off x="0" y="0"/>
                            <a:ext cx="1205230" cy="1274445"/>
                          </a:xfrm>
                          <a:prstGeom prst="rect">
                            <a:avLst/>
                          </a:prstGeom>
                          <a:noFill/>
                          <a:ln>
                            <a:noFill/>
                          </a:ln>
                        </pic:spPr>
                      </pic:pic>
                    </a:graphicData>
                  </a:graphic>
                </wp:inline>
              </w:drawing>
            </w:r>
          </w:p>
        </w:tc>
        <w:tc>
          <w:tcPr>
            <w:tcW w:w="0" w:type="auto"/>
            <w:vAlign w:val="center"/>
          </w:tcPr>
          <w:p w:rsidR="00721B98" w:rsidRDefault="0018191B">
            <w:pPr>
              <w:spacing w:after="0"/>
              <w:jc w:val="center"/>
            </w:pPr>
            <w:r>
              <w:rPr>
                <w:noProof/>
              </w:rPr>
              <w:drawing>
                <wp:inline distT="0" distB="0" distL="0" distR="0">
                  <wp:extent cx="1004570" cy="1371600"/>
                  <wp:effectExtent l="0" t="0" r="0" b="0"/>
                  <wp:docPr id="43" name="Picture 43"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1"/>
                          <pic:cNvPicPr>
                            <a:picLocks noChangeAspect="1" noChangeArrowheads="1"/>
                          </pic:cNvPicPr>
                        </pic:nvPicPr>
                        <pic:blipFill>
                          <a:blip r:embed="rId28">
                            <a:extLst>
                              <a:ext uri="{28A0092B-C50C-407E-A947-70E740481C1C}">
                                <a14:useLocalDpi xmlns:a14="http://schemas.microsoft.com/office/drawing/2010/main" val="0"/>
                              </a:ext>
                            </a:extLst>
                          </a:blip>
                          <a:srcRect l="14400" r="12000"/>
                          <a:stretch>
                            <a:fillRect/>
                          </a:stretch>
                        </pic:blipFill>
                        <pic:spPr bwMode="auto">
                          <a:xfrm>
                            <a:off x="0" y="0"/>
                            <a:ext cx="1004570" cy="1371600"/>
                          </a:xfrm>
                          <a:prstGeom prst="rect">
                            <a:avLst/>
                          </a:prstGeom>
                          <a:noFill/>
                          <a:ln>
                            <a:noFill/>
                          </a:ln>
                        </pic:spPr>
                      </pic:pic>
                    </a:graphicData>
                  </a:graphic>
                </wp:inline>
              </w:drawing>
            </w:r>
          </w:p>
        </w:tc>
        <w:tc>
          <w:tcPr>
            <w:tcW w:w="0" w:type="auto"/>
            <w:vAlign w:val="center"/>
          </w:tcPr>
          <w:p w:rsidR="00721B98" w:rsidRDefault="0018191B">
            <w:pPr>
              <w:spacing w:after="0"/>
              <w:jc w:val="center"/>
            </w:pPr>
            <w:r>
              <w:rPr>
                <w:noProof/>
              </w:rPr>
              <w:drawing>
                <wp:inline distT="0" distB="0" distL="0" distR="0">
                  <wp:extent cx="866140" cy="1371600"/>
                  <wp:effectExtent l="0" t="0" r="0" b="0"/>
                  <wp:docPr id="44" name="Picture 44"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1"/>
                          <pic:cNvPicPr>
                            <a:picLocks noChangeAspect="1" noChangeArrowheads="1"/>
                          </pic:cNvPicPr>
                        </pic:nvPicPr>
                        <pic:blipFill>
                          <a:blip r:embed="rId29">
                            <a:extLst>
                              <a:ext uri="{28A0092B-C50C-407E-A947-70E740481C1C}">
                                <a14:useLocalDpi xmlns:a14="http://schemas.microsoft.com/office/drawing/2010/main" val="0"/>
                              </a:ext>
                            </a:extLst>
                          </a:blip>
                          <a:srcRect l="18401" r="18401"/>
                          <a:stretch>
                            <a:fillRect/>
                          </a:stretch>
                        </pic:blipFill>
                        <pic:spPr bwMode="auto">
                          <a:xfrm>
                            <a:off x="0" y="0"/>
                            <a:ext cx="866140" cy="1371600"/>
                          </a:xfrm>
                          <a:prstGeom prst="rect">
                            <a:avLst/>
                          </a:prstGeom>
                          <a:noFill/>
                          <a:ln>
                            <a:noFill/>
                          </a:ln>
                        </pic:spPr>
                      </pic:pic>
                    </a:graphicData>
                  </a:graphic>
                </wp:inline>
              </w:drawing>
            </w:r>
          </w:p>
        </w:tc>
      </w:tr>
      <w:tr w:rsidR="00721B98">
        <w:tc>
          <w:tcPr>
            <w:tcW w:w="0" w:type="auto"/>
            <w:vAlign w:val="center"/>
          </w:tcPr>
          <w:p w:rsidR="00721B98" w:rsidRDefault="0018191B" w:rsidP="00A427BD">
            <w:pPr>
              <w:spacing w:after="0"/>
              <w:jc w:val="center"/>
            </w:pPr>
            <w:r>
              <w:rPr>
                <w:noProof/>
              </w:rPr>
              <w:drawing>
                <wp:inline distT="0" distB="0" distL="0" distR="0">
                  <wp:extent cx="1205230" cy="1274445"/>
                  <wp:effectExtent l="0" t="0" r="0" b="0"/>
                  <wp:docPr id="45" name="Picture 45"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1"/>
                          <pic:cNvPicPr>
                            <a:picLocks noChangeAspect="1" noChangeArrowheads="1"/>
                          </pic:cNvPicPr>
                        </pic:nvPicPr>
                        <pic:blipFill>
                          <a:blip r:embed="rId30">
                            <a:extLst>
                              <a:ext uri="{28A0092B-C50C-407E-A947-70E740481C1C}">
                                <a14:useLocalDpi xmlns:a14="http://schemas.microsoft.com/office/drawing/2010/main" val="0"/>
                              </a:ext>
                            </a:extLst>
                          </a:blip>
                          <a:srcRect l="3999" r="960"/>
                          <a:stretch>
                            <a:fillRect/>
                          </a:stretch>
                        </pic:blipFill>
                        <pic:spPr bwMode="auto">
                          <a:xfrm>
                            <a:off x="0" y="0"/>
                            <a:ext cx="1205230" cy="1274445"/>
                          </a:xfrm>
                          <a:prstGeom prst="rect">
                            <a:avLst/>
                          </a:prstGeom>
                          <a:noFill/>
                          <a:ln>
                            <a:noFill/>
                          </a:ln>
                        </pic:spPr>
                      </pic:pic>
                    </a:graphicData>
                  </a:graphic>
                </wp:inline>
              </w:drawing>
            </w:r>
          </w:p>
        </w:tc>
        <w:tc>
          <w:tcPr>
            <w:tcW w:w="0" w:type="auto"/>
            <w:vAlign w:val="center"/>
          </w:tcPr>
          <w:p w:rsidR="00721B98" w:rsidRDefault="0018191B" w:rsidP="00A427BD">
            <w:pPr>
              <w:spacing w:after="0"/>
              <w:jc w:val="center"/>
            </w:pPr>
            <w:r>
              <w:rPr>
                <w:noProof/>
              </w:rPr>
              <w:drawing>
                <wp:inline distT="0" distB="0" distL="0" distR="0" wp14:anchorId="1917F6DB" wp14:editId="4765E4D5">
                  <wp:extent cx="1004570" cy="1371600"/>
                  <wp:effectExtent l="0" t="0" r="0" b="0"/>
                  <wp:docPr id="46" name="Picture 46"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1"/>
                          <pic:cNvPicPr>
                            <a:picLocks noChangeAspect="1" noChangeArrowheads="1"/>
                          </pic:cNvPicPr>
                        </pic:nvPicPr>
                        <pic:blipFill>
                          <a:blip r:embed="rId31">
                            <a:extLst>
                              <a:ext uri="{28A0092B-C50C-407E-A947-70E740481C1C}">
                                <a14:useLocalDpi xmlns:a14="http://schemas.microsoft.com/office/drawing/2010/main" val="0"/>
                              </a:ext>
                            </a:extLst>
                          </a:blip>
                          <a:srcRect l="14400" r="12000"/>
                          <a:stretch>
                            <a:fillRect/>
                          </a:stretch>
                        </pic:blipFill>
                        <pic:spPr bwMode="auto">
                          <a:xfrm>
                            <a:off x="0" y="0"/>
                            <a:ext cx="1004570" cy="1371600"/>
                          </a:xfrm>
                          <a:prstGeom prst="rect">
                            <a:avLst/>
                          </a:prstGeom>
                          <a:noFill/>
                          <a:ln>
                            <a:noFill/>
                          </a:ln>
                        </pic:spPr>
                      </pic:pic>
                    </a:graphicData>
                  </a:graphic>
                </wp:inline>
              </w:drawing>
            </w:r>
          </w:p>
        </w:tc>
        <w:tc>
          <w:tcPr>
            <w:tcW w:w="0" w:type="auto"/>
            <w:vAlign w:val="center"/>
          </w:tcPr>
          <w:p w:rsidR="00721B98" w:rsidRDefault="0018191B" w:rsidP="00A427BD">
            <w:pPr>
              <w:spacing w:after="0"/>
              <w:jc w:val="center"/>
            </w:pPr>
            <w:r>
              <w:rPr>
                <w:noProof/>
              </w:rPr>
              <w:drawing>
                <wp:inline distT="0" distB="0" distL="0" distR="0" wp14:anchorId="2B089ED7" wp14:editId="04C26152">
                  <wp:extent cx="866140" cy="1371600"/>
                  <wp:effectExtent l="0" t="0" r="0" b="0"/>
                  <wp:docPr id="47" name="Picture 47"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1"/>
                          <pic:cNvPicPr>
                            <a:picLocks noChangeAspect="1" noChangeArrowheads="1"/>
                          </pic:cNvPicPr>
                        </pic:nvPicPr>
                        <pic:blipFill>
                          <a:blip r:embed="rId32">
                            <a:extLst>
                              <a:ext uri="{28A0092B-C50C-407E-A947-70E740481C1C}">
                                <a14:useLocalDpi xmlns:a14="http://schemas.microsoft.com/office/drawing/2010/main" val="0"/>
                              </a:ext>
                            </a:extLst>
                          </a:blip>
                          <a:srcRect l="18401" r="18401"/>
                          <a:stretch>
                            <a:fillRect/>
                          </a:stretch>
                        </pic:blipFill>
                        <pic:spPr bwMode="auto">
                          <a:xfrm>
                            <a:off x="0" y="0"/>
                            <a:ext cx="866140" cy="1371600"/>
                          </a:xfrm>
                          <a:prstGeom prst="rect">
                            <a:avLst/>
                          </a:prstGeom>
                          <a:noFill/>
                          <a:ln>
                            <a:noFill/>
                          </a:ln>
                        </pic:spPr>
                      </pic:pic>
                    </a:graphicData>
                  </a:graphic>
                </wp:inline>
              </w:drawing>
            </w:r>
          </w:p>
        </w:tc>
      </w:tr>
      <w:tr w:rsidR="00721B98">
        <w:trPr>
          <w:cantSplit/>
        </w:trPr>
        <w:tc>
          <w:tcPr>
            <w:tcW w:w="0" w:type="auto"/>
            <w:gridSpan w:val="3"/>
          </w:tcPr>
          <w:p w:rsidR="00721B98" w:rsidRDefault="00721B98">
            <w:pPr>
              <w:pStyle w:val="Caption"/>
              <w:spacing w:after="120"/>
              <w:ind w:left="0"/>
              <w:jc w:val="both"/>
            </w:pPr>
            <w:bookmarkStart w:id="5" w:name="_Ref502745226"/>
            <w:r>
              <w:t xml:space="preserve">Figure </w:t>
            </w:r>
            <w:fldSimple w:instr=" SEQ Figure \* ARABIC ">
              <w:r w:rsidR="00FF60D9">
                <w:rPr>
                  <w:noProof/>
                </w:rPr>
                <w:t>2</w:t>
              </w:r>
            </w:fldSimple>
            <w:bookmarkEnd w:id="5"/>
            <w:r>
              <w:t>: Top row shows initial chart partitions, and bottom row shows result of chart boundary optimization.</w:t>
            </w:r>
          </w:p>
        </w:tc>
      </w:tr>
    </w:tbl>
    <w:p w:rsidR="00721B98" w:rsidRDefault="00721B98">
      <w:pPr>
        <w:pStyle w:val="Heading2"/>
      </w:pPr>
      <w:bookmarkStart w:id="6" w:name="_Ref503522573"/>
      <w:bookmarkStart w:id="7" w:name="_Ref503179147"/>
      <w:r>
        <w:t>Form initial chart parametrizations</w:t>
      </w:r>
      <w:bookmarkEnd w:id="6"/>
    </w:p>
    <w:p w:rsidR="00721B98" w:rsidRDefault="00721B98">
      <w:r>
        <w:t>Once the chart boundaries are defined in</w:t>
      </w:r>
      <w:r w:rsidR="008A170B">
        <w:t xml:space="preserve"> </w:t>
      </w:r>
      <m:oMath>
        <m:sSup>
          <m:sSupPr>
            <m:ctrlPr>
              <w:rPr>
                <w:rFonts w:ascii="Cambria Math" w:hAnsi="Cambria Math"/>
                <w:i/>
              </w:rPr>
            </m:ctrlPr>
          </m:sSupPr>
          <m:e>
            <m:r>
              <w:rPr>
                <w:rFonts w:ascii="Cambria Math" w:hAnsi="Cambria Math"/>
              </w:rPr>
              <m:t>M</m:t>
            </m:r>
          </m:e>
          <m:sup>
            <m:r>
              <w:rPr>
                <w:rFonts w:ascii="Cambria Math" w:hAnsi="Cambria Math"/>
              </w:rPr>
              <m:t>n</m:t>
            </m:r>
          </m:sup>
        </m:sSup>
      </m:oMath>
      <w:r>
        <w:t>, we create an initial parametrization of each chart onto a 2D polygon.  We define the 2D polygon boundary to be a convex polygon with vertices on a circle, where the length of each polygon edge is proportional to the arc-length of the corresponding chart boundary in 3D, as in </w:t>
      </w:r>
      <w:r>
        <w:fldChar w:fldCharType="begin"/>
      </w:r>
      <w:r>
        <w:instrText xml:space="preserve"> REF _Ref501778256 \r \h </w:instrText>
      </w:r>
      <w:r>
        <w:fldChar w:fldCharType="separate"/>
      </w:r>
      <w:r w:rsidR="00FF60D9">
        <w:t>[4]</w:t>
      </w:r>
      <w:r>
        <w:fldChar w:fldCharType="end"/>
      </w:r>
      <w:r>
        <w:t>.  We initially scale the polygon to have unit area.  Within each chart, we parametrize the interior vertices by minimizing the</w:t>
      </w:r>
      <w:r w:rsidR="008A170B">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d>
          <m:dPr>
            <m:ctrlPr>
              <w:rPr>
                <w:rFonts w:ascii="Cambria Math" w:hAnsi="Cambria Math"/>
                <w:i/>
              </w:rPr>
            </m:ctrlPr>
          </m:dPr>
          <m:e>
            <m:r>
              <w:rPr>
                <w:rFonts w:ascii="Cambria Math" w:hAnsi="Cambria Math"/>
              </w:rPr>
              <m:t>M</m:t>
            </m:r>
          </m:e>
        </m:d>
      </m:oMath>
      <w:r>
        <w:t xml:space="preserve"> stretch metric, using the algorithm described in Section </w:t>
      </w:r>
      <w:r>
        <w:fldChar w:fldCharType="begin"/>
      </w:r>
      <w:r>
        <w:instrText xml:space="preserve"> REF _Ref503519141 \r \h </w:instrText>
      </w:r>
      <w:r>
        <w:fldChar w:fldCharType="separate"/>
      </w:r>
      <w:r w:rsidR="00FF60D9">
        <w:t>3</w:t>
      </w:r>
      <w:r>
        <w:fldChar w:fldCharType="end"/>
      </w:r>
      <w:r>
        <w:t>.</w:t>
      </w:r>
    </w:p>
    <w:p w:rsidR="00721B98" w:rsidRDefault="00721B98">
      <w:pPr>
        <w:pStyle w:val="Heading2"/>
      </w:pPr>
      <w:bookmarkStart w:id="8" w:name="_Ref503082124"/>
      <w:bookmarkStart w:id="9" w:name="_Ref503347133"/>
      <w:r>
        <w:t>Resize chart polygons</w:t>
      </w:r>
      <w:bookmarkEnd w:id="8"/>
    </w:p>
    <w:p w:rsidR="00721B98" w:rsidRDefault="00721B98">
      <w:r>
        <w:t>Now that we have chart parametrizations on</w:t>
      </w:r>
      <w:r w:rsidR="008A170B">
        <w:t xml:space="preserve"> </w:t>
      </w:r>
      <m:oMath>
        <m:sSup>
          <m:sSupPr>
            <m:ctrlPr>
              <w:rPr>
                <w:rFonts w:ascii="Cambria Math" w:hAnsi="Cambria Math"/>
                <w:i/>
              </w:rPr>
            </m:ctrlPr>
          </m:sSupPr>
          <m:e>
            <m:r>
              <w:rPr>
                <w:rFonts w:ascii="Cambria Math" w:hAnsi="Cambria Math"/>
              </w:rPr>
              <m:t>M</m:t>
            </m:r>
          </m:e>
          <m:sup>
            <m:r>
              <w:rPr>
                <w:rFonts w:ascii="Cambria Math" w:hAnsi="Cambria Math"/>
              </w:rPr>
              <m:t>n</m:t>
            </m:r>
          </m:sup>
        </m:sSup>
      </m:oMath>
      <w:r>
        <w:t>, we determine how much relative space each chart should be granted in the texture domain.  For each chart, we compute</w:t>
      </w:r>
      <w:r w:rsidR="008A170B">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chart</m:t>
                </m:r>
              </m:sub>
              <m:sup>
                <m:r>
                  <w:rPr>
                    <w:rFonts w:ascii="Cambria Math" w:hAnsi="Cambria Math"/>
                  </w:rPr>
                  <m:t>n</m:t>
                </m:r>
              </m:sup>
            </m:sSubSup>
          </m:e>
        </m:d>
      </m:oMath>
      <w:r>
        <w:t xml:space="preserve">, the rms stretch over the chart, and use that value to uniformly resize the chart while preserving its shape.  We had hoped to use </w:t>
      </w:r>
      <m:oMath>
        <m:sSup>
          <m:sSupPr>
            <m:ctrlPr>
              <w:rPr>
                <w:rFonts w:ascii="Cambria Math" w:hAnsi="Cambria Math"/>
                <w:i/>
              </w:rPr>
            </m:ctrlPr>
          </m:sSupPr>
          <m:e>
            <m:r>
              <w:rPr>
                <w:rFonts w:ascii="Cambria Math" w:hAnsi="Cambria Math"/>
              </w:rPr>
              <m:t>L</m:t>
            </m:r>
          </m:e>
          <m:sup>
            <m:r>
              <w:rPr>
                <w:rFonts w:ascii="Cambria Math" w:hAnsi="Cambria Math"/>
              </w:rPr>
              <m:t>∞</m:t>
            </m:r>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chart</m:t>
                </m:r>
              </m:sub>
              <m:sup>
                <m:r>
                  <w:rPr>
                    <w:rFonts w:ascii="Cambria Math" w:hAnsi="Cambria Math"/>
                  </w:rPr>
                  <m:t>n</m:t>
                </m:r>
              </m:sup>
            </m:sSubSup>
          </m:e>
        </m:d>
      </m:oMath>
      <w:r w:rsidR="008A170B">
        <w:t xml:space="preserve"> </w:t>
      </w:r>
      <w:r>
        <w:rPr>
          <w:iCs/>
        </w:rPr>
        <w:t xml:space="preserve">to resize the charts, but unfortunately there are a few triangles for which the maximum stretch remains high.  Although the relative chart sizes have no effect on simplification (Section </w:t>
      </w:r>
      <w:r>
        <w:rPr>
          <w:iCs/>
        </w:rPr>
        <w:fldChar w:fldCharType="begin"/>
      </w:r>
      <w:r>
        <w:rPr>
          <w:iCs/>
        </w:rPr>
        <w:instrText xml:space="preserve"> REF _Ref514083367 \r \h </w:instrText>
      </w:r>
      <w:r>
        <w:rPr>
          <w:iCs/>
        </w:rPr>
      </w:r>
      <w:r>
        <w:rPr>
          <w:iCs/>
        </w:rPr>
        <w:fldChar w:fldCharType="separate"/>
      </w:r>
      <w:r w:rsidR="00FF60D9">
        <w:rPr>
          <w:iCs/>
        </w:rPr>
        <w:t>4.4</w:t>
      </w:r>
      <w:r>
        <w:rPr>
          <w:iCs/>
        </w:rPr>
        <w:fldChar w:fldCharType="end"/>
      </w:r>
      <w:r>
        <w:rPr>
          <w:iCs/>
        </w:rPr>
        <w:t>), they do affect</w:t>
      </w:r>
      <w:r w:rsidR="008A170B">
        <w:rPr>
          <w:iCs/>
        </w:rPr>
        <w:t xml:space="preserve"> </w:t>
      </w:r>
      <m:oMath>
        <m:r>
          <w:rPr>
            <w:rFonts w:ascii="Cambria Math" w:hAnsi="Cambria Math"/>
          </w:rPr>
          <m:t>E</m:t>
        </m:r>
        <m:d>
          <m:dPr>
            <m:ctrlPr>
              <w:rPr>
                <w:rFonts w:ascii="Cambria Math" w:hAnsi="Cambria Math"/>
                <w:i/>
                <w:iCs/>
              </w:rPr>
            </m:ctrlPr>
          </m:dPr>
          <m:e>
            <m:r>
              <w:rPr>
                <w:rFonts w:ascii="Cambria Math" w:hAnsi="Cambria Math"/>
              </w:rPr>
              <m:t>PM</m:t>
            </m:r>
          </m:e>
        </m:d>
      </m:oMath>
      <w:r>
        <w:rPr>
          <w:iCs/>
        </w:rPr>
        <w:t xml:space="preserve"> in the final PM optimization (Section </w:t>
      </w:r>
      <w:r>
        <w:rPr>
          <w:iCs/>
        </w:rPr>
        <w:fldChar w:fldCharType="begin"/>
      </w:r>
      <w:r>
        <w:rPr>
          <w:iCs/>
        </w:rPr>
        <w:instrText xml:space="preserve"> REF _Ref503347931 \r \h </w:instrText>
      </w:r>
      <w:r>
        <w:rPr>
          <w:iCs/>
        </w:rPr>
      </w:r>
      <w:r>
        <w:rPr>
          <w:iCs/>
        </w:rPr>
        <w:fldChar w:fldCharType="separate"/>
      </w:r>
      <w:r w:rsidR="00FF60D9">
        <w:rPr>
          <w:iCs/>
        </w:rPr>
        <w:t>4.5</w:t>
      </w:r>
      <w:r>
        <w:rPr>
          <w:iCs/>
        </w:rPr>
        <w:fldChar w:fldCharType="end"/>
      </w:r>
      <w:r>
        <w:rPr>
          <w:iCs/>
        </w:rPr>
        <w:t>).</w:t>
      </w:r>
    </w:p>
    <w:p w:rsidR="00721B98" w:rsidRDefault="00721B98">
      <w:pPr>
        <w:pStyle w:val="Heading2"/>
      </w:pPr>
      <w:bookmarkStart w:id="10" w:name="_Ref514083367"/>
      <w:r>
        <w:t>Simplify mesh</w:t>
      </w:r>
      <w:bookmarkEnd w:id="7"/>
      <w:bookmarkEnd w:id="9"/>
      <w:bookmarkEnd w:id="10"/>
    </w:p>
    <w:p w:rsidR="00721B98" w:rsidRDefault="00721B98">
      <w:r>
        <w:t>Given the initial chart parametrizations, we si</w:t>
      </w:r>
      <w:r w:rsidR="00D40473">
        <w:t>mplify the mesh to define a PM.</w:t>
      </w:r>
      <w:r>
        <w:t xml:space="preserve"> Our goal during simplification is to minimize texture deviation.  Our algorithm closely follows that of Cohen et al. </w:t>
      </w:r>
      <w:r>
        <w:fldChar w:fldCharType="begin"/>
      </w:r>
      <w:r>
        <w:instrText xml:space="preserve"> REF _Ref501777873 \r \h  \* MERGEFORMAT </w:instrText>
      </w:r>
      <w:r>
        <w:fldChar w:fldCharType="separate"/>
      </w:r>
      <w:r w:rsidR="00FF60D9">
        <w:t>[3]</w:t>
      </w:r>
      <w:r>
        <w:fldChar w:fldCharType="end"/>
      </w:r>
      <w:r>
        <w:t xml:space="preserve">.  We select edge collapses that minimize texture deviation by using a priority queue.  To enforce chart compliance, we disallow an edge collapse </w:t>
      </w:r>
      <m:oMath>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oMath>
      <w:r w:rsidR="008A170B">
        <w:t xml:space="preserve"> </w:t>
      </w:r>
      <w:r>
        <w:t>in</w:t>
      </w:r>
      <w:r w:rsidR="008A170B">
        <w:t xml:space="preserve"> </w:t>
      </w:r>
      <m:oMath>
        <m:sSup>
          <m:sSupPr>
            <m:ctrlPr>
              <w:rPr>
                <w:rFonts w:ascii="Cambria Math" w:hAnsi="Cambria Math"/>
                <w:i/>
              </w:rPr>
            </m:ctrlPr>
          </m:sSupPr>
          <m:e>
            <m:r>
              <w:rPr>
                <w:rFonts w:ascii="Cambria Math" w:hAnsi="Cambria Math"/>
              </w:rPr>
              <m:t>M</m:t>
            </m:r>
          </m:e>
          <m:sup>
            <m:r>
              <w:rPr>
                <w:rFonts w:ascii="Cambria Math" w:hAnsi="Cambria Math"/>
              </w:rPr>
              <m:t>i+1</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i</m:t>
            </m:r>
          </m:sup>
        </m:sSup>
      </m:oMath>
      <w:r>
        <w:t xml:space="preserve"> if vertex</w:t>
      </w:r>
      <w:r w:rsidR="008A170B">
        <w:t xml:space="preserve">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t xml:space="preserve"> is a chart corner (to preserve corners), or if</w:t>
      </w:r>
      <w:r w:rsidR="008A170B">
        <w:t xml:space="preserve">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t xml:space="preserve"> is on a chart boundary and edge </w:t>
      </w:r>
      <m:oMath>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e>
        </m:d>
      </m:oMath>
      <w:r w:rsidR="008A170B">
        <w:t xml:space="preserve"> </w:t>
      </w:r>
      <w:r>
        <w:t>is not on a chart boundary (to preserve boundary straightness).  In addition, we also prevent the creation of par</w:t>
      </w:r>
      <w:r>
        <w:t>a</w:t>
      </w:r>
      <w:r>
        <w:t>metrically flipped or degenerate triangles.</w:t>
      </w:r>
    </w:p>
    <w:p w:rsidR="00721B98" w:rsidRDefault="00B15E0B" w:rsidP="003F5C0D">
      <w:pPr>
        <w:spacing w:line="200" w:lineRule="exact"/>
      </w:pPr>
      <w:r>
        <w:rPr>
          <w:noProof/>
          <w:sz w:val="20"/>
        </w:rPr>
        <w:pict>
          <v:shape id="_x0000_s2209" type="#_x0000_t75" style="position:absolute;left:0;text-align:left;margin-left:191.35pt;margin-top:64.6pt;width:48.4pt;height:40.95pt;z-index:251657728;mso-wrap-edited:f;mso-wrap-distance-left:5.05pt;mso-wrap-distance-right:0" wrapcoords="4734 169 296 5569 0 6244 2959 7931 4734 8269 10356 10969 5622 11138 2959 12150 2959 13669 592 16369 0 17381 1184 18394 3847 19069 9764 21431 10060 21431 11244 21431 21008 17719 21600 17381 21008 16369 18641 13669 18937 12150 15978 11138 10948 10969 16570 8269 19233 7425 21600 6244 21304 5569 16570 169 4734 169">
            <v:imagedata r:id="rId33" o:title=""/>
            <w10:wrap type="square"/>
          </v:shape>
          <o:OLEObject Type="Embed" ProgID="Word.Picture.8" ShapeID="_x0000_s2209" DrawAspect="Content" ObjectID="_1425911829" r:id="rId34"/>
        </w:pict>
      </w:r>
      <w:r w:rsidR="00721B98">
        <w:t xml:space="preserve">To measure texture deviation for each candidate edge collapse, rather than using conservative bounds as in </w:t>
      </w:r>
      <w:r w:rsidR="00721B98">
        <w:fldChar w:fldCharType="begin"/>
      </w:r>
      <w:r w:rsidR="00721B98">
        <w:instrText xml:space="preserve"> REF _Ref501777873 \r \h </w:instrText>
      </w:r>
      <w:r w:rsidR="00721B98">
        <w:fldChar w:fldCharType="separate"/>
      </w:r>
      <w:r w:rsidR="00FF60D9">
        <w:t>[3]</w:t>
      </w:r>
      <w:r w:rsidR="00721B98">
        <w:fldChar w:fldCharType="end"/>
      </w:r>
      <w:r w:rsidR="00721B98">
        <w:t>, we use the fast heuristic of measuring the incremental texture deviation</w:t>
      </w:r>
      <w:r w:rsidR="008A170B">
        <w:t xml:space="preserve"> </w:t>
      </w:r>
      <m:oMath>
        <m:r>
          <w:rPr>
            <w:rFonts w:ascii="Cambria Math" w:hAnsi="Cambria Math"/>
          </w:rPr>
          <m:t>d</m:t>
        </m:r>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i+1</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i</m:t>
                </m:r>
              </m:sup>
            </m:sSup>
          </m:e>
        </m:d>
      </m:oMath>
      <w:r w:rsidR="008A170B">
        <w:t xml:space="preserve"> </w:t>
      </w:r>
      <w:r w:rsidR="00721B98">
        <w:t xml:space="preserve">between the two meshes.  (The heuristic is akin to the “memoryless” error that has proven effective for geometric simplification </w:t>
      </w:r>
      <w:r w:rsidR="00721B98">
        <w:fldChar w:fldCharType="begin"/>
      </w:r>
      <w:r w:rsidR="00721B98">
        <w:instrText xml:space="preserve"> REF _Ref503521595 \r \h </w:instrText>
      </w:r>
      <w:r w:rsidR="00721B98">
        <w:fldChar w:fldCharType="separate"/>
      </w:r>
      <w:r w:rsidR="00FF60D9">
        <w:t>[20]</w:t>
      </w:r>
      <w:r w:rsidR="00721B98">
        <w:fldChar w:fldCharType="end"/>
      </w:r>
      <w:r w:rsidR="00721B98">
        <w:t>.)  The maximum deviation between</w:t>
      </w:r>
      <w:r w:rsidR="008A170B">
        <w:t xml:space="preserve"> </w:t>
      </w:r>
      <m:oMath>
        <m:sSup>
          <m:sSupPr>
            <m:ctrlPr>
              <w:rPr>
                <w:rFonts w:ascii="Cambria Math" w:hAnsi="Cambria Math"/>
                <w:i/>
              </w:rPr>
            </m:ctrlPr>
          </m:sSupPr>
          <m:e>
            <m:r>
              <w:rPr>
                <w:rFonts w:ascii="Cambria Math" w:hAnsi="Cambria Math"/>
              </w:rPr>
              <m:t>M</m:t>
            </m:r>
          </m:e>
          <m:sup>
            <m:r>
              <w:rPr>
                <w:rFonts w:ascii="Cambria Math" w:hAnsi="Cambria Math"/>
              </w:rPr>
              <m:t>i+1</m:t>
            </m:r>
          </m:sup>
        </m:sSup>
      </m:oMath>
      <w:r w:rsidR="008A170B">
        <w:t xml:space="preserve"> </w:t>
      </w:r>
      <w:r w:rsidR="00721B98">
        <w:t>and</w:t>
      </w:r>
      <w:r w:rsidR="008A170B">
        <w:t xml:space="preserve"> </w:t>
      </w:r>
      <m:oMath>
        <m:sSup>
          <m:sSupPr>
            <m:ctrlPr>
              <w:rPr>
                <w:rFonts w:ascii="Cambria Math" w:hAnsi="Cambria Math"/>
                <w:i/>
              </w:rPr>
            </m:ctrlPr>
          </m:sSupPr>
          <m:e>
            <m:r>
              <w:rPr>
                <w:rFonts w:ascii="Cambria Math" w:hAnsi="Cambria Math"/>
              </w:rPr>
              <m:t>M</m:t>
            </m:r>
          </m:e>
          <m:sup>
            <m:r>
              <w:rPr>
                <w:rFonts w:ascii="Cambria Math" w:hAnsi="Cambria Math"/>
              </w:rPr>
              <m:t>i</m:t>
            </m:r>
          </m:sup>
        </m:sSup>
      </m:oMath>
      <w:r w:rsidR="00721B98">
        <w:t xml:space="preserve"> is known to lie either at the removed vertex</w:t>
      </w:r>
      <w:r w:rsidR="008A170B">
        <w:t xml:space="preserve">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rsidR="00721B98">
        <w:t xml:space="preserve"> or at an edge-edge intersection point in the par</w:t>
      </w:r>
      <w:r w:rsidR="00721B98">
        <w:t>a</w:t>
      </w:r>
      <w:r w:rsidR="00721B98">
        <w:t>metric neighborhood (e.g. the red points shown in the figure to the right).  We confirmed empi</w:t>
      </w:r>
      <w:r w:rsidR="00721B98">
        <w:t>r</w:t>
      </w:r>
      <w:r w:rsidR="00721B98">
        <w:t>ically that the incremental deviation heuristic works well by comparing to a slow simplification that orders edge collapses using the true deviation error (between</w:t>
      </w:r>
      <w:r w:rsidR="008A170B">
        <w:t xml:space="preserve"> </w:t>
      </w:r>
      <m:oMath>
        <m:sSup>
          <m:sSupPr>
            <m:ctrlPr>
              <w:rPr>
                <w:rFonts w:ascii="Cambria Math" w:hAnsi="Cambria Math"/>
                <w:i/>
              </w:rPr>
            </m:ctrlPr>
          </m:sSupPr>
          <m:e>
            <m:r>
              <w:rPr>
                <w:rFonts w:ascii="Cambria Math" w:hAnsi="Cambria Math"/>
              </w:rPr>
              <m:t>M</m:t>
            </m:r>
          </m:e>
          <m:sup>
            <m:r>
              <w:rPr>
                <w:rFonts w:ascii="Cambria Math" w:hAnsi="Cambria Math"/>
              </w:rPr>
              <m:t>i</m:t>
            </m:r>
          </m:sup>
        </m:sSup>
      </m:oMath>
      <w:r w:rsidR="00721B98">
        <w:t xml:space="preserve"> </w:t>
      </w:r>
      <w:r w:rsidR="00721B98">
        <w:rPr>
          <w:noProof/>
        </w:rPr>
        <w:t>and</w:t>
      </w:r>
      <w:r w:rsidR="008A170B">
        <w:rPr>
          <w:noProof/>
        </w:rPr>
        <w:t xml:space="preserve"> </w:t>
      </w:r>
      <m:oMath>
        <m:sSup>
          <m:sSupPr>
            <m:ctrlPr>
              <w:rPr>
                <w:rFonts w:ascii="Cambria Math" w:hAnsi="Cambria Math"/>
                <w:i/>
                <w:noProof/>
              </w:rPr>
            </m:ctrlPr>
          </m:sSupPr>
          <m:e>
            <m:r>
              <w:rPr>
                <w:rFonts w:ascii="Cambria Math" w:hAnsi="Cambria Math"/>
                <w:noProof/>
              </w:rPr>
              <m:t>M</m:t>
            </m:r>
          </m:e>
          <m:sup>
            <m:r>
              <w:rPr>
                <w:rFonts w:ascii="Cambria Math" w:hAnsi="Cambria Math"/>
                <w:noProof/>
              </w:rPr>
              <m:t>n</m:t>
            </m:r>
          </m:sup>
        </m:sSup>
      </m:oMath>
      <w:r w:rsidR="00721B98">
        <w:t>).</w:t>
      </w:r>
    </w:p>
    <w:p w:rsidR="00721B98" w:rsidRDefault="00721B98">
      <w:pPr>
        <w:pStyle w:val="Heading2"/>
      </w:pPr>
      <w:bookmarkStart w:id="11" w:name="_Ref503347931"/>
      <w:r>
        <w:t>Optimize chart parametrizations</w:t>
      </w:r>
      <w:bookmarkEnd w:id="11"/>
    </w:p>
    <w:p w:rsidR="00721B98" w:rsidRDefault="00721B98">
      <w:r>
        <w:t>Having determined the PM simplification sequence, we now re-optimize the chart parametrizations to minimize stretch and deviation on the entire sequence</w:t>
      </w:r>
      <w:r w:rsidR="008A170B">
        <w:t xml:space="preserve"> </w:t>
      </w:r>
      <m:oMath>
        <m:sSup>
          <m:sSupPr>
            <m:ctrlPr>
              <w:rPr>
                <w:rFonts w:ascii="Cambria Math" w:hAnsi="Cambria Math"/>
                <w:i/>
              </w:rPr>
            </m:ctrlPr>
          </m:sSupPr>
          <m:e>
            <m:r>
              <w:rPr>
                <w:rFonts w:ascii="Cambria Math" w:hAnsi="Cambria Math"/>
              </w:rPr>
              <m:t>M</m:t>
            </m:r>
          </m:e>
          <m:sup>
            <m:r>
              <w:rPr>
                <w:rFonts w:ascii="Cambria Math" w:hAnsi="Cambria Math"/>
              </w:rPr>
              <m:t>0</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n</m:t>
            </m:r>
          </m:sup>
        </m:sSup>
      </m:oMath>
      <w:r>
        <w:t>.  Our nonlinear optim</w:t>
      </w:r>
      <w:r>
        <w:t>i</w:t>
      </w:r>
      <w:r>
        <w:t>zation algorithm follows the strategy of moving vertices of</w:t>
      </w:r>
      <w:r w:rsidR="008A170B">
        <w:t xml:space="preserve"> </w:t>
      </w:r>
      <m:oMath>
        <m:sSup>
          <m:sSupPr>
            <m:ctrlPr>
              <w:rPr>
                <w:rFonts w:ascii="Cambria Math" w:hAnsi="Cambria Math"/>
                <w:i/>
              </w:rPr>
            </m:ctrlPr>
          </m:sSupPr>
          <m:e>
            <m:r>
              <w:rPr>
                <w:rFonts w:ascii="Cambria Math" w:hAnsi="Cambria Math"/>
              </w:rPr>
              <m:t>M</m:t>
            </m:r>
          </m:e>
          <m:sup>
            <m:r>
              <w:rPr>
                <w:rFonts w:ascii="Cambria Math" w:hAnsi="Cambria Math"/>
              </w:rPr>
              <m:t>n</m:t>
            </m:r>
          </m:sup>
        </m:sSup>
      </m:oMath>
      <w:r>
        <w:t xml:space="preserve"> one-by-one in the parametric domain as in Sections </w:t>
      </w:r>
      <w:r>
        <w:fldChar w:fldCharType="begin"/>
      </w:r>
      <w:r>
        <w:instrText xml:space="preserve"> REF _Ref503519141 \r \h </w:instrText>
      </w:r>
      <w:r>
        <w:fldChar w:fldCharType="separate"/>
      </w:r>
      <w:r w:rsidR="00FF60D9">
        <w:t>3</w:t>
      </w:r>
      <w:r>
        <w:fldChar w:fldCharType="end"/>
      </w:r>
      <w:r>
        <w:t xml:space="preserve"> and </w:t>
      </w:r>
      <w:r>
        <w:fldChar w:fldCharType="begin"/>
      </w:r>
      <w:r>
        <w:instrText xml:space="preserve"> REF _Ref503522573 \r \h </w:instrText>
      </w:r>
      <w:r>
        <w:fldChar w:fldCharType="separate"/>
      </w:r>
      <w:r w:rsidR="00FF60D9">
        <w:t>4.2</w:t>
      </w:r>
      <w:r>
        <w:fldChar w:fldCharType="end"/>
      </w:r>
      <w:r>
        <w:t>, but using a different objective function.</w:t>
      </w:r>
    </w:p>
    <w:p w:rsidR="00721B98" w:rsidRPr="00FC0871" w:rsidRDefault="00721B98" w:rsidP="003F5C0D">
      <w:pPr>
        <w:spacing w:after="40"/>
      </w:pPr>
      <w:r>
        <w:t xml:space="preserve">Our objective function is a weighted sum of the texture stretch and </w:t>
      </w:r>
      <w:r w:rsidRPr="00FC0871">
        <w:t>deviation on all meshes</w:t>
      </w:r>
      <w:r w:rsidR="008A170B">
        <w:t xml:space="preserve"> </w:t>
      </w:r>
      <m:oMath>
        <m:sSup>
          <m:sSupPr>
            <m:ctrlPr>
              <w:rPr>
                <w:rFonts w:ascii="Cambria Math" w:hAnsi="Cambria Math"/>
                <w:i/>
              </w:rPr>
            </m:ctrlPr>
          </m:sSupPr>
          <m:e>
            <m:r>
              <w:rPr>
                <w:rFonts w:ascii="Cambria Math" w:hAnsi="Cambria Math"/>
              </w:rPr>
              <m:t>M</m:t>
            </m:r>
          </m:e>
          <m:sup>
            <m:r>
              <w:rPr>
                <w:rFonts w:ascii="Cambria Math" w:hAnsi="Cambria Math"/>
              </w:rPr>
              <m:t>0</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n</m:t>
            </m:r>
          </m:sup>
        </m:sSup>
      </m:oMath>
      <w:r w:rsidRPr="00FC0871">
        <w:t>:</w:t>
      </w:r>
    </w:p>
    <w:p w:rsidR="008A170B" w:rsidRPr="008A170B" w:rsidRDefault="008A170B" w:rsidP="003F5C0D">
      <w:pPr>
        <w:spacing w:after="40"/>
        <w:jc w:val="center"/>
        <w:rPr>
          <w:iCs/>
        </w:rPr>
      </w:pPr>
      <m:oMath>
        <m:r>
          <w:rPr>
            <w:rFonts w:ascii="Cambria Math" w:hAnsi="Cambria Math"/>
          </w:rPr>
          <m:t>E</m:t>
        </m:r>
        <m:d>
          <m:dPr>
            <m:ctrlPr>
              <w:rPr>
                <w:rFonts w:ascii="Cambria Math" w:hAnsi="Cambria Math"/>
                <w:i/>
                <w:iCs/>
              </w:rPr>
            </m:ctrlPr>
          </m:dPr>
          <m:e>
            <m:r>
              <w:rPr>
                <w:rFonts w:ascii="Cambria Math" w:hAnsi="Cambria Math"/>
              </w:rPr>
              <m:t>PM</m:t>
            </m:r>
          </m:e>
        </m:d>
        <m:r>
          <w:rPr>
            <w:rFonts w:ascii="Cambria Math" w:hAnsi="Cambria Math"/>
          </w:rPr>
          <m:t>=</m:t>
        </m:r>
        <m:nary>
          <m:naryPr>
            <m:chr m:val="∑"/>
            <m:supHide m:val="1"/>
            <m:ctrlPr>
              <w:rPr>
                <w:rFonts w:ascii="Cambria Math" w:hAnsi="Cambria Math"/>
                <w:i/>
                <w:iCs/>
              </w:rPr>
            </m:ctrlPr>
          </m:naryPr>
          <m:sub>
            <m:r>
              <w:rPr>
                <w:rFonts w:ascii="Cambria Math" w:hAnsi="Cambria Math"/>
              </w:rPr>
              <m:t>i=0…n</m:t>
            </m:r>
          </m:sub>
          <m:sup/>
          <m:e>
            <m:r>
              <w:rPr>
                <w:rFonts w:ascii="Cambria Math" w:hAnsi="Cambria Math"/>
              </w:rPr>
              <m:t>ψ</m:t>
            </m:r>
            <m:d>
              <m:dPr>
                <m:ctrlPr>
                  <w:rPr>
                    <w:rFonts w:ascii="Cambria Math" w:hAnsi="Cambria Math"/>
                    <w:i/>
                    <w:iCs/>
                  </w:rPr>
                </m:ctrlPr>
              </m:dPr>
              <m:e>
                <m:r>
                  <w:rPr>
                    <w:rFonts w:ascii="Cambria Math" w:hAnsi="Cambria Math"/>
                  </w:rPr>
                  <m:t>i</m:t>
                </m:r>
              </m:e>
            </m:d>
            <m:d>
              <m:dPr>
                <m:begChr m:val="["/>
                <m:endChr m:val="]"/>
                <m:ctrlPr>
                  <w:rPr>
                    <w:rFonts w:ascii="Cambria Math" w:hAnsi="Cambria Math"/>
                    <w:i/>
                    <w:iCs/>
                  </w:rPr>
                </m:ctrlPr>
              </m:dPr>
              <m:e>
                <m:r>
                  <w:rPr>
                    <w:rFonts w:ascii="Cambria Math" w:hAnsi="Cambria Math"/>
                  </w:rPr>
                  <m:t>λ</m:t>
                </m:r>
                <m:sSup>
                  <m:sSupPr>
                    <m:ctrlPr>
                      <w:rPr>
                        <w:rFonts w:ascii="Cambria Math" w:hAnsi="Cambria Math"/>
                        <w:i/>
                        <w:iCs/>
                      </w:rPr>
                    </m:ctrlPr>
                  </m:sSupPr>
                  <m:e>
                    <m:r>
                      <w:rPr>
                        <w:rFonts w:ascii="Cambria Math" w:hAnsi="Cambria Math"/>
                      </w:rPr>
                      <m:t>L</m:t>
                    </m:r>
                  </m:e>
                  <m:sup>
                    <m:r>
                      <w:rPr>
                        <w:rFonts w:ascii="Cambria Math" w:hAnsi="Cambria Math"/>
                      </w:rPr>
                      <m:t>2</m:t>
                    </m:r>
                  </m:sup>
                </m:sSup>
                <m:sSup>
                  <m:sSupPr>
                    <m:ctrlPr>
                      <w:rPr>
                        <w:rFonts w:ascii="Cambria Math" w:hAnsi="Cambria Math"/>
                        <w:i/>
                        <w:iCs/>
                      </w:rPr>
                    </m:ctrlPr>
                  </m:sSupPr>
                  <m:e>
                    <m:d>
                      <m:dPr>
                        <m:ctrlPr>
                          <w:rPr>
                            <w:rFonts w:ascii="Cambria Math" w:hAnsi="Cambria Math"/>
                            <w:i/>
                            <w:iCs/>
                          </w:rPr>
                        </m:ctrlPr>
                      </m:dPr>
                      <m:e>
                        <m:sSup>
                          <m:sSupPr>
                            <m:ctrlPr>
                              <w:rPr>
                                <w:rFonts w:ascii="Cambria Math" w:hAnsi="Cambria Math"/>
                                <w:i/>
                                <w:iCs/>
                              </w:rPr>
                            </m:ctrlPr>
                          </m:sSupPr>
                          <m:e>
                            <m:r>
                              <w:rPr>
                                <w:rFonts w:ascii="Cambria Math" w:hAnsi="Cambria Math"/>
                              </w:rPr>
                              <m:t>M</m:t>
                            </m:r>
                          </m:e>
                          <m:sup>
                            <m:r>
                              <w:rPr>
                                <w:rFonts w:ascii="Cambria Math" w:hAnsi="Cambria Math"/>
                              </w:rPr>
                              <m:t>i</m:t>
                            </m:r>
                          </m:sup>
                        </m:sSup>
                      </m:e>
                    </m:d>
                  </m:e>
                  <m:sup>
                    <m:r>
                      <w:rPr>
                        <w:rFonts w:ascii="Cambria Math" w:hAnsi="Cambria Math"/>
                      </w:rPr>
                      <m:t>2</m:t>
                    </m:r>
                  </m:sup>
                </m:sSup>
                <m:r>
                  <w:rPr>
                    <w:rFonts w:ascii="Cambria Math" w:hAnsi="Cambria Math"/>
                  </w:rPr>
                  <m:t>+</m:t>
                </m:r>
                <m:d>
                  <m:dPr>
                    <m:ctrlPr>
                      <w:rPr>
                        <w:rFonts w:ascii="Cambria Math" w:hAnsi="Cambria Math"/>
                        <w:i/>
                        <w:iCs/>
                      </w:rPr>
                    </m:ctrlPr>
                  </m:dPr>
                  <m:e>
                    <m:r>
                      <w:rPr>
                        <w:rFonts w:ascii="Cambria Math" w:hAnsi="Cambria Math"/>
                      </w:rPr>
                      <m:t>1</m:t>
                    </m:r>
                    <m:r>
                      <m:rPr>
                        <m:nor/>
                      </m:rPr>
                      <w:rPr>
                        <w:rFonts w:ascii="Cambria Math" w:hAnsi="Cambria Math"/>
                        <w:iCs/>
                      </w:rPr>
                      <m:t>-</m:t>
                    </m:r>
                    <m:r>
                      <w:rPr>
                        <w:rFonts w:ascii="Cambria Math" w:hAnsi="Cambria Math"/>
                      </w:rPr>
                      <m:t>λ</m:t>
                    </m:r>
                  </m:e>
                </m:d>
                <m:r>
                  <w:rPr>
                    <w:rFonts w:ascii="Cambria Math" w:hAnsi="Cambria Math"/>
                  </w:rPr>
                  <m:t> d</m:t>
                </m:r>
                <m:sSup>
                  <m:sSupPr>
                    <m:ctrlPr>
                      <w:rPr>
                        <w:rFonts w:ascii="Cambria Math" w:hAnsi="Cambria Math"/>
                        <w:i/>
                        <w:iCs/>
                      </w:rPr>
                    </m:ctrlPr>
                  </m:sSupPr>
                  <m:e>
                    <m:d>
                      <m:dPr>
                        <m:ctrlPr>
                          <w:rPr>
                            <w:rFonts w:ascii="Cambria Math" w:hAnsi="Cambria Math"/>
                            <w:i/>
                            <w:iCs/>
                          </w:rPr>
                        </m:ctrlPr>
                      </m:dPr>
                      <m:e>
                        <m:sSup>
                          <m:sSupPr>
                            <m:ctrlPr>
                              <w:rPr>
                                <w:rFonts w:ascii="Cambria Math" w:hAnsi="Cambria Math"/>
                                <w:i/>
                                <w:iCs/>
                              </w:rPr>
                            </m:ctrlPr>
                          </m:sSupPr>
                          <m:e>
                            <m:r>
                              <w:rPr>
                                <w:rFonts w:ascii="Cambria Math" w:hAnsi="Cambria Math"/>
                              </w:rPr>
                              <m:t>M</m:t>
                            </m:r>
                          </m:e>
                          <m:sup>
                            <m:r>
                              <w:rPr>
                                <w:rFonts w:ascii="Cambria Math" w:hAnsi="Cambria Math"/>
                              </w:rPr>
                              <m:t>i</m:t>
                            </m:r>
                          </m:sup>
                        </m:sSup>
                        <m:r>
                          <w:rPr>
                            <w:rFonts w:ascii="Cambria Math" w:hAnsi="Cambria Math"/>
                          </w:rPr>
                          <m:t>,</m:t>
                        </m:r>
                        <m:sSup>
                          <m:sSupPr>
                            <m:ctrlPr>
                              <w:rPr>
                                <w:rFonts w:ascii="Cambria Math" w:hAnsi="Cambria Math"/>
                                <w:i/>
                                <w:iCs/>
                              </w:rPr>
                            </m:ctrlPr>
                          </m:sSupPr>
                          <m:e>
                            <m:r>
                              <w:rPr>
                                <w:rFonts w:ascii="Cambria Math" w:hAnsi="Cambria Math"/>
                              </w:rPr>
                              <m:t>M</m:t>
                            </m:r>
                          </m:e>
                          <m:sup>
                            <m:r>
                              <w:rPr>
                                <w:rFonts w:ascii="Cambria Math" w:hAnsi="Cambria Math"/>
                              </w:rPr>
                              <m:t>n</m:t>
                            </m:r>
                          </m:sup>
                        </m:sSup>
                      </m:e>
                    </m:d>
                  </m:e>
                  <m:sup>
                    <m:r>
                      <w:rPr>
                        <w:rFonts w:ascii="Cambria Math" w:hAnsi="Cambria Math"/>
                      </w:rPr>
                      <m:t>2</m:t>
                    </m:r>
                  </m:sup>
                </m:sSup>
                <m:r>
                  <m:rPr>
                    <m:lit/>
                  </m:rPr>
                  <w:rPr>
                    <w:rFonts w:ascii="Cambria Math" w:hAnsi="Cambria Math"/>
                  </w:rPr>
                  <m:t>/</m:t>
                </m:r>
                <m:sSup>
                  <m:sSupPr>
                    <m:ctrlPr>
                      <w:rPr>
                        <w:rFonts w:ascii="Cambria Math" w:hAnsi="Cambria Math"/>
                        <w:i/>
                        <w:iCs/>
                      </w:rPr>
                    </m:ctrlPr>
                  </m:sSupPr>
                  <m:e>
                    <m:r>
                      <w:rPr>
                        <w:rFonts w:ascii="Cambria Math" w:hAnsi="Cambria Math"/>
                      </w:rPr>
                      <m:t>A</m:t>
                    </m:r>
                  </m:e>
                  <m:sup>
                    <m:r>
                      <w:rPr>
                        <w:rFonts w:ascii="Cambria Math" w:hAnsi="Cambria Math"/>
                      </w:rPr>
                      <m:t>'</m:t>
                    </m:r>
                  </m:sup>
                </m:sSup>
                <m:d>
                  <m:dPr>
                    <m:ctrlPr>
                      <w:rPr>
                        <w:rFonts w:ascii="Cambria Math" w:hAnsi="Cambria Math"/>
                        <w:i/>
                        <w:iCs/>
                      </w:rPr>
                    </m:ctrlPr>
                  </m:dPr>
                  <m:e>
                    <m:sSup>
                      <m:sSupPr>
                        <m:ctrlPr>
                          <w:rPr>
                            <w:rFonts w:ascii="Cambria Math" w:hAnsi="Cambria Math"/>
                            <w:i/>
                            <w:iCs/>
                          </w:rPr>
                        </m:ctrlPr>
                      </m:sSupPr>
                      <m:e>
                        <m:r>
                          <w:rPr>
                            <w:rFonts w:ascii="Cambria Math" w:hAnsi="Cambria Math"/>
                          </w:rPr>
                          <m:t>M</m:t>
                        </m:r>
                      </m:e>
                      <m:sup>
                        <m:r>
                          <w:rPr>
                            <w:rFonts w:ascii="Cambria Math" w:hAnsi="Cambria Math"/>
                          </w:rPr>
                          <m:t>n</m:t>
                        </m:r>
                      </m:sup>
                    </m:sSup>
                  </m:e>
                </m:d>
              </m:e>
            </m:d>
          </m:e>
        </m:nary>
      </m:oMath>
      <w:r w:rsidR="003F5C0D">
        <w:rPr>
          <w:iCs/>
        </w:rPr>
        <w:t xml:space="preserve"> </w:t>
      </w:r>
    </w:p>
    <w:p w:rsidR="00721B98" w:rsidRPr="00FC0871" w:rsidRDefault="00721B98">
      <w:r w:rsidRPr="00FC0871">
        <w:t>where</w:t>
      </w:r>
      <w:r w:rsidR="008A170B">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i</m:t>
                </m:r>
              </m:sup>
            </m:sSup>
          </m:e>
        </m:d>
      </m:oMath>
      <w:r w:rsidR="008A170B">
        <w:rPr>
          <w:iCs/>
        </w:rPr>
        <w:t xml:space="preserve"> </w:t>
      </w:r>
      <w:r w:rsidRPr="00FC0871">
        <w:t>is the normalized average stretch of</w:t>
      </w:r>
      <w:r w:rsidR="008A170B">
        <w:t xml:space="preserve"> </w:t>
      </w:r>
      <m:oMath>
        <m:sSup>
          <m:sSupPr>
            <m:ctrlPr>
              <w:rPr>
                <w:rFonts w:ascii="Cambria Math" w:hAnsi="Cambria Math"/>
                <w:i/>
              </w:rPr>
            </m:ctrlPr>
          </m:sSupPr>
          <m:e>
            <m:r>
              <w:rPr>
                <w:rFonts w:ascii="Cambria Math" w:hAnsi="Cambria Math"/>
              </w:rPr>
              <m:t>M</m:t>
            </m:r>
          </m:e>
          <m:sup>
            <m:r>
              <w:rPr>
                <w:rFonts w:ascii="Cambria Math" w:hAnsi="Cambria Math"/>
              </w:rPr>
              <m:t>i</m:t>
            </m:r>
          </m:sup>
        </m:sSup>
      </m:oMath>
      <w:r w:rsidRPr="00FC0871">
        <w:t xml:space="preserve"> (Section </w:t>
      </w:r>
      <w:r w:rsidRPr="00FC0871">
        <w:fldChar w:fldCharType="begin"/>
      </w:r>
      <w:r w:rsidRPr="00FC0871">
        <w:instrText xml:space="preserve"> REF _Ref503519141 \r \h </w:instrText>
      </w:r>
      <w:r w:rsidRPr="00FC0871">
        <w:fldChar w:fldCharType="separate"/>
      </w:r>
      <w:r w:rsidR="00FF60D9">
        <w:t>3</w:t>
      </w:r>
      <w:r w:rsidRPr="00FC0871">
        <w:fldChar w:fldCharType="end"/>
      </w:r>
      <w:r w:rsidRPr="00FC0871">
        <w:t xml:space="preserve">) computed using the resized charts from Section </w:t>
      </w:r>
      <w:r w:rsidRPr="00FC0871">
        <w:fldChar w:fldCharType="begin"/>
      </w:r>
      <w:r w:rsidRPr="00FC0871">
        <w:instrText xml:space="preserve"> REF _Ref503082124 \r \h </w:instrText>
      </w:r>
      <w:r w:rsidRPr="00FC0871">
        <w:fldChar w:fldCharType="separate"/>
      </w:r>
      <w:r w:rsidR="00FF60D9">
        <w:t>4.3</w:t>
      </w:r>
      <w:r w:rsidRPr="00FC0871">
        <w:fldChar w:fldCharType="end"/>
      </w:r>
      <w:r w:rsidRPr="00FC0871">
        <w:t>,</w:t>
      </w:r>
      <w:r w:rsidR="008A170B">
        <w:t xml:space="preserve"> </w:t>
      </w:r>
      <m:oMath>
        <m:r>
          <w:rPr>
            <w:rFonts w:ascii="Cambria Math" w:hAnsi="Cambria Math"/>
          </w:rPr>
          <m:t>d</m:t>
        </m:r>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i</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n</m:t>
                </m:r>
              </m:sup>
            </m:sSup>
          </m:e>
        </m:d>
      </m:oMath>
      <w:r w:rsidRPr="00FC0871">
        <w:t xml:space="preserve"> is its texture deviation, the parameter</w:t>
      </w:r>
      <w:r w:rsidR="008A170B">
        <w:t xml:space="preserve"> </w:t>
      </w:r>
      <m:oMath>
        <m:r>
          <w:rPr>
            <w:rFonts w:ascii="Cambria Math" w:hAnsi="Cambria Math"/>
          </w:rPr>
          <m:t>0≤λ≤1</m:t>
        </m:r>
      </m:oMath>
      <w:r w:rsidRPr="00FC0871">
        <w:t xml:space="preserve"> is used to weight stretch error relative to deviation error, and</w:t>
      </w:r>
      <w:r w:rsidR="008A170B">
        <w:t xml:space="preserve"> </w:t>
      </w:r>
      <m:oMath>
        <m:r>
          <w:rPr>
            <w:rFonts w:ascii="Cambria Math" w:hAnsi="Cambria Math"/>
          </w:rPr>
          <m:t>ψ</m:t>
        </m:r>
        <m:d>
          <m:dPr>
            <m:ctrlPr>
              <w:rPr>
                <w:rFonts w:ascii="Cambria Math" w:hAnsi="Cambria Math"/>
                <w:i/>
              </w:rPr>
            </m:ctrlPr>
          </m:dPr>
          <m:e>
            <m:r>
              <w:rPr>
                <w:rFonts w:ascii="Cambria Math" w:hAnsi="Cambria Math"/>
              </w:rPr>
              <m:t>i</m:t>
            </m:r>
          </m:e>
        </m:d>
      </m:oMath>
      <w:r w:rsidRPr="00FC0871">
        <w:t xml:space="preserve"> is the relative weight assigned to each LOD mesh in the sequence.  Dividing by the mesh surface area</w:t>
      </w:r>
      <w:r w:rsidR="008A170B">
        <w:t xml:space="preserve"> </w:t>
      </w:r>
      <m:oMath>
        <m:sSup>
          <m:sSupPr>
            <m:ctrlPr>
              <w:rPr>
                <w:rFonts w:ascii="Cambria Math" w:hAnsi="Cambria Math"/>
                <w:i/>
              </w:rPr>
            </m:ctrlPr>
          </m:sSupPr>
          <m:e>
            <m:r>
              <w:rPr>
                <w:rFonts w:ascii="Cambria Math" w:hAnsi="Cambria Math"/>
              </w:rPr>
              <m:t>A</m:t>
            </m:r>
          </m:e>
          <m:sup>
            <m:r>
              <w:rPr>
                <w:rFonts w:ascii="Cambria Math" w:hAnsi="Cambria Math"/>
              </w:rPr>
              <m:t>'</m:t>
            </m:r>
          </m:sup>
        </m:sSup>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n</m:t>
                </m:r>
              </m:sup>
            </m:sSup>
          </m:e>
        </m:d>
      </m:oMath>
      <w:r w:rsidR="008A170B">
        <w:rPr>
          <w:iCs/>
        </w:rPr>
        <w:t xml:space="preserve"> </w:t>
      </w:r>
      <w:r w:rsidRPr="00FC0871">
        <w:t>makes the second term scale-invariant like the first term.</w:t>
      </w:r>
    </w:p>
    <w:p w:rsidR="00721B98" w:rsidRDefault="00721B98">
      <w:r w:rsidRPr="00FC0871">
        <w:t>We now introduce a model for setting the relative weight</w:t>
      </w:r>
      <w:r w:rsidR="007312E9">
        <w:t xml:space="preserve"> </w:t>
      </w:r>
      <m:oMath>
        <m:r>
          <w:rPr>
            <w:rFonts w:ascii="Cambria Math" w:hAnsi="Cambria Math"/>
          </w:rPr>
          <m:t>ψ</m:t>
        </m:r>
        <m:d>
          <m:dPr>
            <m:ctrlPr>
              <w:rPr>
                <w:rFonts w:ascii="Cambria Math" w:hAnsi="Cambria Math"/>
                <w:i/>
              </w:rPr>
            </m:ctrlPr>
          </m:dPr>
          <m:e>
            <m:r>
              <w:rPr>
                <w:rFonts w:ascii="Cambria Math" w:hAnsi="Cambria Math"/>
              </w:rPr>
              <m:t>i</m:t>
            </m:r>
          </m:e>
        </m:d>
      </m:oMath>
      <w:r w:rsidRPr="00FC0871">
        <w:t xml:space="preserve"> assigned to each mesh</w:t>
      </w:r>
      <w:r w:rsidR="007312E9">
        <w:t xml:space="preserve"> </w:t>
      </w:r>
      <m:oMath>
        <m:sSup>
          <m:sSupPr>
            <m:ctrlPr>
              <w:rPr>
                <w:rFonts w:ascii="Cambria Math" w:hAnsi="Cambria Math"/>
                <w:i/>
              </w:rPr>
            </m:ctrlPr>
          </m:sSupPr>
          <m:e>
            <m:r>
              <w:rPr>
                <w:rFonts w:ascii="Cambria Math" w:hAnsi="Cambria Math"/>
              </w:rPr>
              <m:t>M</m:t>
            </m:r>
          </m:e>
          <m:sup>
            <m:r>
              <w:rPr>
                <w:rFonts w:ascii="Cambria Math" w:hAnsi="Cambria Math"/>
              </w:rPr>
              <m:t>i</m:t>
            </m:r>
          </m:sup>
        </m:sSup>
      </m:oMath>
      <w:r w:rsidRPr="00FC0871">
        <w:t>, consisting</w:t>
      </w:r>
      <w:r>
        <w:t xml:space="preserve"> of two factors: usage and scale.  Depending on the application, other weighting schemes could be used, without changing the optimization method. </w:t>
      </w:r>
    </w:p>
    <w:p w:rsidR="00721B98" w:rsidRDefault="00721B98" w:rsidP="00A427BD">
      <w:pPr>
        <w:pStyle w:val="Bullet"/>
        <w:spacing w:line="220" w:lineRule="exact"/>
      </w:pPr>
      <w:r>
        <w:t>In LOD applications, coarser meshes are likely to be used proportionately more often.  For example, meshes with 10</w:t>
      </w:r>
      <w:r>
        <w:softHyphen/>
        <w:t xml:space="preserve">–100 faces are likely to be used more than those with 900–990 faces.  We believe that a reasonable model for </w:t>
      </w:r>
      <w:r>
        <w:rPr>
          <w:b/>
          <w:bCs/>
        </w:rPr>
        <w:t>usage</w:t>
      </w:r>
      <w:r>
        <w:t xml:space="preserve"> probability is a uniform distribution over a </w:t>
      </w:r>
      <w:r>
        <w:rPr>
          <w:rStyle w:val="ItalicChar"/>
        </w:rPr>
        <w:t>logarithmic</w:t>
      </w:r>
      <w:r>
        <w:t xml:space="preserve"> scale of model co</w:t>
      </w:r>
      <w:r>
        <w:t>m</w:t>
      </w:r>
      <w:r>
        <w:t>plexity, e.g. meshes with 10-100 faces are as likely as meshes with 100-1000 faces.  This distribution is obtained using the factor</w:t>
      </w:r>
      <w:r w:rsidR="007312E9">
        <w:t xml:space="preserve"> </w:t>
      </w:r>
      <m:oMath>
        <m:r>
          <w:rPr>
            <w:rFonts w:ascii="Cambria Math" w:hAnsi="Cambria Math"/>
          </w:rPr>
          <m:t>1</m:t>
        </m:r>
        <m:r>
          <m:rPr>
            <m:lit/>
          </m:rP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i</m:t>
                </m:r>
              </m:sup>
            </m:sSup>
          </m:e>
        </m:d>
      </m:oMath>
      <w:r>
        <w:t xml:space="preserve"> where</w:t>
      </w:r>
      <w:r w:rsidR="007312E9">
        <w:t xml:space="preserve">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i</m:t>
                </m:r>
              </m:sup>
            </m:sSup>
          </m:e>
        </m:d>
      </m:oMath>
      <w:r>
        <w:t xml:space="preserve"> is the number of vertices in</w:t>
      </w:r>
      <w:r w:rsidR="007312E9">
        <w:t xml:space="preserve"> </w:t>
      </w:r>
      <m:oMath>
        <m:r>
          <w:rPr>
            <w:rFonts w:ascii="Cambria Math" w:hAnsi="Cambria Math"/>
          </w:rPr>
          <m:t>M</m:t>
        </m:r>
      </m:oMath>
      <w:r>
        <w:t>.</w:t>
      </w:r>
    </w:p>
    <w:p w:rsidR="00721B98" w:rsidRPr="00A427BD" w:rsidRDefault="00721B98" w:rsidP="00A427BD">
      <w:pPr>
        <w:pStyle w:val="Bullet"/>
        <w:spacing w:line="220" w:lineRule="exact"/>
      </w:pPr>
      <w:r>
        <w:t xml:space="preserve">The fact that coarser meshes are typically used when the object is farther away reduces the screen-space </w:t>
      </w:r>
      <w:r>
        <w:rPr>
          <w:b/>
          <w:bCs/>
        </w:rPr>
        <w:t>scale</w:t>
      </w:r>
      <w:r>
        <w:t xml:space="preserve"> of their deviation and stretch.  For a smooth spherical surface, texture deviation varies as</w:t>
      </w:r>
      <w:r w:rsidR="007312E9">
        <w:t xml:space="preserve"> </w:t>
      </w:r>
      <m:oMath>
        <m:r>
          <w:rPr>
            <w:rFonts w:ascii="Cambria Math" w:hAnsi="Cambria Math"/>
          </w:rPr>
          <m:t>1</m:t>
        </m:r>
        <m:r>
          <m:rPr>
            <m:lit/>
          </m:rP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M</m:t>
                </m:r>
              </m:e>
            </m:d>
          </m:e>
          <m:sup>
            <m:r>
              <w:rPr>
                <w:rFonts w:ascii="Cambria Math" w:hAnsi="Cambria Math"/>
              </w:rPr>
              <m:t>2</m:t>
            </m:r>
          </m:sup>
        </m:sSup>
      </m:oMath>
      <w:r>
        <w:t>.  Since LOD algorithms attempt to maintain a constant screen-space error, deviation and stretch in model space should therefore be down-weighted for coarser mesh meshes using the weighting factor</w:t>
      </w:r>
      <w:r w:rsidR="007312E9">
        <w:t xml:space="preserve"> </w:t>
      </w:r>
      <m:oMath>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i</m:t>
                    </m:r>
                  </m:sup>
                </m:sSup>
              </m:e>
            </m:d>
          </m:e>
          <m:sup>
            <m:r>
              <w:rPr>
                <w:rFonts w:ascii="Cambria Math" w:hAnsi="Cambria Math"/>
              </w:rPr>
              <m:t>2</m:t>
            </m:r>
          </m:sup>
        </m:sSup>
      </m:oMath>
      <w:r>
        <w:t xml:space="preserve"> in</w:t>
      </w:r>
      <w:r w:rsidR="007312E9">
        <w:t xml:space="preserve"> </w:t>
      </w:r>
      <m:oMath>
        <m:r>
          <w:rPr>
            <w:rFonts w:ascii="Cambria Math" w:hAnsi="Cambria Math"/>
          </w:rPr>
          <m:t>ψ</m:t>
        </m:r>
        <m:d>
          <m:dPr>
            <m:ctrlPr>
              <w:rPr>
                <w:rFonts w:ascii="Cambria Math" w:hAnsi="Cambria Math"/>
                <w:i/>
              </w:rPr>
            </m:ctrlPr>
          </m:dPr>
          <m:e>
            <m:r>
              <w:rPr>
                <w:rFonts w:ascii="Cambria Math" w:hAnsi="Cambria Math"/>
              </w:rPr>
              <m:t>i</m:t>
            </m:r>
          </m:e>
        </m:d>
      </m:oMath>
      <w:r w:rsidRPr="00A427BD">
        <w:t>.</w:t>
      </w:r>
    </w:p>
    <w:p w:rsidR="00721B98" w:rsidRDefault="00721B98">
      <w:r>
        <w:t xml:space="preserve">To optimize the texture coordinates of a given vertex </w:t>
      </w:r>
      <m:oMath>
        <m:r>
          <w:rPr>
            <w:rFonts w:ascii="Cambria Math" w:hAnsi="Cambria Math"/>
          </w:rPr>
          <m:t>v</m:t>
        </m:r>
      </m:oMath>
      <w:r>
        <w:t xml:space="preserve">, our optimization algorithm needs to repeatedly evaluate </w:t>
      </w:r>
      <m:oMath>
        <m:r>
          <w:rPr>
            <w:rFonts w:ascii="Cambria Math" w:hAnsi="Cambria Math"/>
          </w:rPr>
          <m:t>E</m:t>
        </m:r>
      </m:oMath>
      <w:r>
        <w:t>.  Comp</w:t>
      </w:r>
      <w:r>
        <w:t>u</w:t>
      </w:r>
      <w:r>
        <w:t xml:space="preserve">ting </w:t>
      </w:r>
      <m:oMath>
        <m:r>
          <w:rPr>
            <w:rFonts w:ascii="Cambria Math" w:hAnsi="Cambria Math"/>
          </w:rPr>
          <m:t>E</m:t>
        </m:r>
      </m:oMath>
      <w:r>
        <w:t xml:space="preserve"> using the above sum over all meshes would be expensive.  Fortunately, the neighborhood of </w:t>
      </w:r>
      <m:oMath>
        <m:r>
          <w:rPr>
            <w:rFonts w:ascii="Cambria Math" w:hAnsi="Cambria Math"/>
          </w:rPr>
          <m:t>v</m:t>
        </m:r>
      </m:oMath>
      <w:r>
        <w:t xml:space="preserve"> changes only a few times within the sequence of meshes, generally</w:t>
      </w:r>
      <w:r w:rsidR="007312E9">
        <w:t xml:space="preserve"> </w:t>
      </w:r>
      <m:oMath>
        <m:r>
          <w:rPr>
            <w:rFonts w:ascii="Cambria Math" w:hAnsi="Cambria Math"/>
          </w:rPr>
          <m:t>O</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log</m:t>
                </m:r>
              </m:fName>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n</m:t>
                        </m:r>
                      </m:sup>
                    </m:sSup>
                  </m:e>
                </m:d>
              </m:e>
            </m:func>
          </m:e>
        </m:d>
      </m:oMath>
      <w:r>
        <w:t xml:space="preserve"> times.  Thus we only need to consider </w:t>
      </w:r>
      <m:oMath>
        <m:r>
          <w:rPr>
            <w:rFonts w:ascii="Cambria Math" w:hAnsi="Cambria Math"/>
          </w:rPr>
          <m:t>E</m:t>
        </m:r>
      </m:oMath>
      <w:r>
        <w:t xml:space="preserve"> on each refinement neighbo</w:t>
      </w:r>
      <w:r>
        <w:t>r</w:t>
      </w:r>
      <w:r>
        <w:t>hood</w:t>
      </w:r>
      <w:r w:rsidR="007312E9">
        <w:t xml:space="preserve"> </w:t>
      </w:r>
      <m:oMath>
        <m:sSup>
          <m:sSupPr>
            <m:ctrlPr>
              <w:rPr>
                <w:rFonts w:ascii="Cambria Math" w:hAnsi="Cambria Math"/>
                <w:i/>
              </w:rPr>
            </m:ctrlPr>
          </m:sSupPr>
          <m:e>
            <m:r>
              <w:rPr>
                <w:rFonts w:ascii="Cambria Math" w:hAnsi="Cambria Math"/>
              </w:rPr>
              <m:t>M</m:t>
            </m:r>
          </m:e>
          <m:sup>
            <m:r>
              <w:rPr>
                <w:rFonts w:ascii="Cambria Math" w:hAnsi="Cambria Math"/>
              </w:rPr>
              <m:t>i</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i+1</m:t>
            </m:r>
          </m:sup>
        </m:sSup>
      </m:oMath>
      <w:r>
        <w:t xml:space="preserve"> of which </w:t>
      </w:r>
      <m:oMath>
        <m:r>
          <w:rPr>
            <w:rFonts w:ascii="Cambria Math" w:hAnsi="Cambria Math"/>
          </w:rPr>
          <m:t>v</m:t>
        </m:r>
      </m:oMath>
      <w:r>
        <w:t xml:space="preserve"> is a member.  For each vertex </w:t>
      </w:r>
      <m:oMath>
        <m:r>
          <w:rPr>
            <w:rFonts w:ascii="Cambria Math" w:hAnsi="Cambria Math"/>
          </w:rPr>
          <m:t>v</m:t>
        </m:r>
      </m:oMath>
      <w:r>
        <w:t>, we gather the relevant refinement neighborhoods as a list during a coarse-to-fine preprocess traversal of the PM.</w:t>
      </w:r>
    </w:p>
    <w:p w:rsidR="00721B98" w:rsidRDefault="00721B98" w:rsidP="00E87B47">
      <w:pPr>
        <w:spacing w:line="220" w:lineRule="exact"/>
      </w:pPr>
      <w:r>
        <w:t xml:space="preserve">Since the refinement neighborhoods adjacent to a vertex </w:t>
      </w:r>
      <m:oMath>
        <m:r>
          <w:rPr>
            <w:rFonts w:ascii="Cambria Math" w:hAnsi="Cambria Math"/>
          </w:rPr>
          <m:t>v</m:t>
        </m:r>
      </m:oMath>
      <w:r>
        <w:t xml:space="preserve"> have an approximately logarithmic distribution over the PM sequence, we can account for the usage factor by summing the stretch and deviation on these refinement neighborhoods.  Therefore, we weight the error over each such neighborhood by</w:t>
      </w:r>
      <w:r w:rsidR="007312E9">
        <w:t xml:space="preserve"> </w:t>
      </w:r>
      <m:oMath>
        <m:sSup>
          <m:sSupPr>
            <m:ctrlPr>
              <w:rPr>
                <w:rFonts w:ascii="Cambria Math" w:hAnsi="Cambria Math"/>
                <w:i/>
              </w:rPr>
            </m:ctrlPr>
          </m:sSupPr>
          <m:e>
            <m:r>
              <w:rPr>
                <w:rFonts w:ascii="Cambria Math" w:hAnsi="Cambria Math"/>
              </w:rPr>
              <m:t>ψ</m:t>
            </m:r>
          </m:e>
          <m:sup>
            <m:r>
              <w:rPr>
                <w:rFonts w:ascii="Cambria Math" w:hAnsi="Cambria Math"/>
              </w:rPr>
              <m:t>'</m:t>
            </m:r>
          </m:sup>
        </m:sSup>
        <m:d>
          <m:dPr>
            <m:ctrlPr>
              <w:rPr>
                <w:rFonts w:ascii="Cambria Math" w:hAnsi="Cambria Math"/>
                <w:i/>
              </w:rPr>
            </m:ctrlPr>
          </m:dPr>
          <m:e>
            <m:r>
              <w:rPr>
                <w:rFonts w:ascii="Cambria Math" w:hAnsi="Cambria Math"/>
              </w:rPr>
              <m:t>i</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i</m:t>
                    </m:r>
                  </m:sup>
                </m:sSup>
              </m:e>
            </m:d>
          </m:e>
          <m:sup>
            <m:r>
              <w:rPr>
                <w:rFonts w:ascii="Cambria Math" w:hAnsi="Cambria Math"/>
              </w:rPr>
              <m:t>2</m:t>
            </m:r>
          </m:sup>
        </m:sSup>
      </m:oMath>
      <w:r>
        <w:t xml:space="preserve"> to account for the remaining scale factor.</w:t>
      </w:r>
    </w:p>
    <w:p w:rsidR="00721B98" w:rsidRDefault="00721B98">
      <w:r>
        <w:t>The following pseudo-code gives an overview of our algorithm.</w:t>
      </w:r>
    </w:p>
    <w:p w:rsidR="00721B98" w:rsidRDefault="00721B98">
      <w:pPr>
        <w:pStyle w:val="Code"/>
      </w:pPr>
      <w:r>
        <w:rPr>
          <w:i/>
          <w:iCs/>
        </w:rPr>
        <w:t>// Optimize parametrization over whole PM sequence.</w:t>
      </w:r>
      <w:r>
        <w:rPr>
          <w:i/>
          <w:iCs/>
        </w:rPr>
        <w:br/>
      </w:r>
      <w:r>
        <w:t>procedure</w:t>
      </w:r>
      <w:r>
        <w:rPr>
          <w:i/>
          <w:iCs/>
        </w:rPr>
        <w:t xml:space="preserve"> </w:t>
      </w:r>
      <w:r>
        <w:t>parametrize_pm()</w:t>
      </w:r>
      <w:r>
        <w:br/>
        <w:t xml:space="preserve">    gather_refinement_neighborhoods()     </w:t>
      </w:r>
      <w:r>
        <w:rPr>
          <w:i/>
          <w:iCs/>
        </w:rPr>
        <w:t>// coarse-to-fine traversal</w:t>
      </w:r>
      <w:r>
        <w:br/>
        <w:t xml:space="preserve">    repeat</w:t>
      </w:r>
      <w:r>
        <w:br/>
        <w:t xml:space="preserve">        </w:t>
      </w:r>
      <m:oMath>
        <m:r>
          <w:rPr>
            <w:rFonts w:ascii="Cambria Math" w:hAnsi="Cambria Math"/>
          </w:rPr>
          <m:t>v</m:t>
        </m:r>
      </m:oMath>
      <w:r>
        <w:t xml:space="preserve"> = some_vertex_in_mesh(</w:t>
      </w:r>
      <m:oMath>
        <m:sSup>
          <m:sSupPr>
            <m:ctrlPr>
              <w:rPr>
                <w:rFonts w:ascii="Cambria Math" w:hAnsi="Cambria Math"/>
                <w:i/>
              </w:rPr>
            </m:ctrlPr>
          </m:sSupPr>
          <m:e>
            <m:r>
              <w:rPr>
                <w:rFonts w:ascii="Cambria Math" w:hAnsi="Cambria Math"/>
              </w:rPr>
              <m:t>M</m:t>
            </m:r>
          </m:e>
          <m:sup>
            <m:r>
              <w:rPr>
                <w:rFonts w:ascii="Cambria Math" w:hAnsi="Cambria Math"/>
              </w:rPr>
              <m:t>n</m:t>
            </m:r>
          </m:sup>
        </m:sSup>
      </m:oMath>
      <w:r>
        <w:t>)</w:t>
      </w:r>
      <w:r>
        <w:br/>
        <w:t xml:space="preserve">        optimize_vertex(</w:t>
      </w:r>
      <m:oMath>
        <m:r>
          <w:rPr>
            <w:rFonts w:ascii="Cambria Math" w:hAnsi="Cambria Math"/>
          </w:rPr>
          <m:t>v</m:t>
        </m:r>
      </m:oMath>
      <w:r>
        <w:t>)</w:t>
      </w:r>
      <w:r>
        <w:br/>
        <w:t xml:space="preserve">    until convergence</w:t>
      </w:r>
    </w:p>
    <w:p w:rsidR="00721B98" w:rsidRDefault="00721B98">
      <w:pPr>
        <w:pStyle w:val="Code"/>
      </w:pPr>
      <w:r>
        <w:rPr>
          <w:i/>
          <w:iCs/>
        </w:rPr>
        <w:t>// Optimize the parametrization param</w:t>
      </w:r>
      <w:r>
        <w:rPr>
          <w:iCs/>
        </w:rPr>
        <w:t>(</w:t>
      </w:r>
      <m:oMath>
        <m:r>
          <w:rPr>
            <w:rFonts w:ascii="Cambria Math" w:hAnsi="Cambria Math"/>
          </w:rPr>
          <m:t>v</m:t>
        </m:r>
      </m:oMath>
      <w:r>
        <w:rPr>
          <w:iCs/>
        </w:rPr>
        <w:t>)</w:t>
      </w:r>
      <w:r>
        <w:rPr>
          <w:i/>
          <w:iCs/>
        </w:rPr>
        <w:t xml:space="preserve"> of vertex </w:t>
      </w:r>
      <m:oMath>
        <m:r>
          <w:rPr>
            <w:rFonts w:ascii="Cambria Math" w:hAnsi="Cambria Math"/>
          </w:rPr>
          <m:t>v</m:t>
        </m:r>
      </m:oMath>
      <w:r>
        <w:br/>
        <w:t xml:space="preserve">procedure optimize_vertex(vertex </w:t>
      </w:r>
      <m:oMath>
        <m:r>
          <w:rPr>
            <w:rFonts w:ascii="Cambria Math" w:hAnsi="Cambria Math"/>
          </w:rPr>
          <m:t>v</m:t>
        </m:r>
      </m:oMath>
      <w:r>
        <w:t>)</w:t>
      </w:r>
      <w:r>
        <w:br/>
        <w:t xml:space="preserve">    repeat</w:t>
      </w:r>
      <w:r>
        <w:br/>
        <w:t xml:space="preserve">        vector dir = random_search_direction()     </w:t>
      </w:r>
      <w:r>
        <w:rPr>
          <w:i/>
          <w:iCs/>
        </w:rPr>
        <w:t>// in 2D domain</w:t>
      </w:r>
      <w:r>
        <w:rPr>
          <w:i/>
          <w:iCs/>
        </w:rPr>
        <w:br/>
        <w:t xml:space="preserve">        // perform line search minimization</w:t>
      </w:r>
      <w:r>
        <w:br/>
        <w:t xml:space="preserve">        repeat</w:t>
      </w:r>
      <w:r>
        <w:br/>
        <w:t xml:space="preserve">            select float t           </w:t>
      </w:r>
      <w:r>
        <w:rPr>
          <w:i/>
          <w:iCs/>
        </w:rPr>
        <w:t>// e.g. using binary line search</w:t>
      </w:r>
      <w:r>
        <w:br/>
        <w:t xml:space="preserve">            param(</w:t>
      </w:r>
      <m:oMath>
        <m:r>
          <w:rPr>
            <w:rFonts w:ascii="Cambria Math" w:hAnsi="Cambria Math"/>
          </w:rPr>
          <m:t>v</m:t>
        </m:r>
      </m:oMath>
      <w:r>
        <w:t>) = param(</w:t>
      </w:r>
      <m:oMath>
        <m:r>
          <w:rPr>
            <w:rFonts w:ascii="Cambria Math" w:hAnsi="Cambria Math"/>
          </w:rPr>
          <m:t>v</m:t>
        </m:r>
      </m:oMath>
      <w:r w:rsidR="008E3EC8">
        <w:t xml:space="preserve">) + dir * t  </w:t>
      </w:r>
      <w:r>
        <w:rPr>
          <w:i/>
          <w:iCs/>
        </w:rPr>
        <w:t xml:space="preserve">// perturb parametrization of </w:t>
      </w:r>
      <m:oMath>
        <m:r>
          <w:rPr>
            <w:rFonts w:ascii="Cambria Math" w:hAnsi="Cambria Math"/>
          </w:rPr>
          <m:t>v</m:t>
        </m:r>
      </m:oMath>
      <w:r>
        <w:rPr>
          <w:i/>
          <w:iCs/>
        </w:rPr>
        <w:br/>
      </w:r>
      <w:r>
        <w:t xml:space="preserve">        until error_over_PM(</w:t>
      </w:r>
      <m:oMath>
        <m:r>
          <w:rPr>
            <w:rFonts w:ascii="Cambria Math" w:hAnsi="Cambria Math"/>
          </w:rPr>
          <m:t>v</m:t>
        </m:r>
      </m:oMath>
      <w:r>
        <w:t>) is minimized</w:t>
      </w:r>
      <w:r>
        <w:br/>
        <w:t xml:space="preserve">    until convergence</w:t>
      </w:r>
    </w:p>
    <w:p w:rsidR="00721B98" w:rsidRDefault="00721B98">
      <w:pPr>
        <w:pStyle w:val="Code"/>
      </w:pPr>
      <w:r>
        <w:rPr>
          <w:i/>
          <w:iCs/>
        </w:rPr>
        <w:t>// Sum of errors affected by param</w:t>
      </w:r>
      <w:r>
        <w:rPr>
          <w:iCs/>
        </w:rPr>
        <w:t>(</w:t>
      </w:r>
      <m:oMath>
        <m:r>
          <w:rPr>
            <w:rFonts w:ascii="Cambria Math" w:hAnsi="Cambria Math"/>
          </w:rPr>
          <m:t>v</m:t>
        </m:r>
      </m:oMath>
      <w:r>
        <w:rPr>
          <w:iCs/>
        </w:rPr>
        <w:t>)</w:t>
      </w:r>
      <w:r>
        <w:rPr>
          <w:i/>
          <w:iCs/>
        </w:rPr>
        <w:t xml:space="preserve"> in all meshes</w:t>
      </w:r>
      <w:r w:rsidR="008E3EC8">
        <w:rPr>
          <w:i/>
          <w:iCs/>
        </w:rPr>
        <w:t xml:space="preserve"> </w:t>
      </w:r>
      <m:oMath>
        <m:sSup>
          <m:sSupPr>
            <m:ctrlPr>
              <w:rPr>
                <w:rFonts w:ascii="Cambria Math" w:hAnsi="Cambria Math"/>
                <w:i/>
                <w:iCs/>
              </w:rPr>
            </m:ctrlPr>
          </m:sSupPr>
          <m:e>
            <m:r>
              <w:rPr>
                <w:rFonts w:ascii="Cambria Math" w:hAnsi="Cambria Math"/>
              </w:rPr>
              <m:t>M</m:t>
            </m:r>
          </m:e>
          <m:sup>
            <m:r>
              <w:rPr>
                <w:rFonts w:ascii="Cambria Math" w:hAnsi="Cambria Math"/>
              </w:rPr>
              <m:t>0</m:t>
            </m:r>
          </m:sup>
        </m:sSup>
        <m:r>
          <w:rPr>
            <w:rFonts w:ascii="Cambria Math" w:hAnsi="Cambria Math"/>
          </w:rPr>
          <m:t>…</m:t>
        </m:r>
        <m:sSup>
          <m:sSupPr>
            <m:ctrlPr>
              <w:rPr>
                <w:rFonts w:ascii="Cambria Math" w:hAnsi="Cambria Math"/>
                <w:i/>
                <w:iCs/>
              </w:rPr>
            </m:ctrlPr>
          </m:sSupPr>
          <m:e>
            <m:r>
              <w:rPr>
                <w:rFonts w:ascii="Cambria Math" w:hAnsi="Cambria Math"/>
              </w:rPr>
              <m:t>M</m:t>
            </m:r>
          </m:e>
          <m:sup>
            <m:r>
              <w:rPr>
                <w:rFonts w:ascii="Cambria Math" w:hAnsi="Cambria Math"/>
              </w:rPr>
              <m:t>n</m:t>
            </m:r>
          </m:sup>
        </m:sSup>
      </m:oMath>
      <w:r>
        <w:rPr>
          <w:i/>
          <w:iCs/>
        </w:rPr>
        <w:t>.</w:t>
      </w:r>
      <w:r>
        <w:rPr>
          <w:i/>
          <w:iCs/>
        </w:rPr>
        <w:br/>
      </w:r>
      <w:r>
        <w:t xml:space="preserve">function error_over_PM(vertex </w:t>
      </w:r>
      <m:oMath>
        <m:r>
          <w:rPr>
            <w:rFonts w:ascii="Cambria Math" w:hAnsi="Cambria Math"/>
          </w:rPr>
          <m:t>v</m:t>
        </m:r>
      </m:oMath>
      <w:r>
        <w:t>)</w:t>
      </w:r>
      <w:r>
        <w:br/>
        <w:t xml:space="preserve">    error = 0</w:t>
      </w:r>
      <w:r>
        <w:br/>
        <w:t xml:space="preserve">    for (vertex </w:t>
      </w:r>
      <m:oMath>
        <m:r>
          <w:rPr>
            <w:rFonts w:ascii="Cambria Math" w:hAnsi="Cambria Math"/>
          </w:rPr>
          <m:t>w</m:t>
        </m:r>
      </m:oMath>
      <w:r>
        <w:t xml:space="preserve"> in refinement_neighborhoods(</w:t>
      </w:r>
      <m:oMath>
        <m:r>
          <w:rPr>
            <w:rFonts w:ascii="Cambria Math" w:hAnsi="Cambria Math"/>
          </w:rPr>
          <m:t>v</m:t>
        </m:r>
      </m:oMath>
      <w:r w:rsidR="008E3EC8">
        <w:t>))</w:t>
      </w:r>
      <w:r>
        <w:br/>
        <w:t xml:space="preserve">        error += error_over_neighborhood(</w:t>
      </w:r>
      <m:oMath>
        <m:r>
          <w:rPr>
            <w:rFonts w:ascii="Cambria Math" w:hAnsi="Cambria Math"/>
          </w:rPr>
          <m:t>w</m:t>
        </m:r>
      </m:oMath>
      <w:r>
        <w:t xml:space="preserve">, </w:t>
      </w:r>
      <m:oMath>
        <m:r>
          <w:rPr>
            <w:rFonts w:ascii="Cambria Math" w:hAnsi="Cambria Math"/>
          </w:rPr>
          <m:t>v</m:t>
        </m:r>
      </m:oMath>
      <w:r>
        <w:t>)</w:t>
      </w:r>
      <w:r>
        <w:br/>
        <w:t xml:space="preserve">    return error</w:t>
      </w:r>
    </w:p>
    <w:p w:rsidR="00721B98" w:rsidRDefault="00721B98">
      <w:pPr>
        <w:pStyle w:val="Code"/>
      </w:pPr>
      <w:r>
        <w:rPr>
          <w:i/>
          <w:iCs/>
        </w:rPr>
        <w:t xml:space="preserve">// Error due to </w:t>
      </w:r>
      <m:oMath>
        <m:r>
          <w:rPr>
            <w:rFonts w:ascii="Cambria Math" w:hAnsi="Cambria Math"/>
          </w:rPr>
          <m:t>v</m:t>
        </m:r>
      </m:oMath>
      <w:r>
        <w:rPr>
          <w:i/>
          <w:iCs/>
        </w:rPr>
        <w:t xml:space="preserve"> in neighborhood of </w:t>
      </w:r>
      <m:oMath>
        <m:r>
          <w:rPr>
            <w:rFonts w:ascii="Cambria Math" w:hAnsi="Cambria Math"/>
          </w:rPr>
          <m:t>w</m:t>
        </m:r>
      </m:oMath>
      <w:r>
        <w:rPr>
          <w:i/>
          <w:iCs/>
        </w:rPr>
        <w:t xml:space="preserve"> (where </w:t>
      </w:r>
      <m:oMath>
        <m:r>
          <w:rPr>
            <w:rFonts w:ascii="Cambria Math" w:hAnsi="Cambria Math"/>
          </w:rPr>
          <m:t>w</m:t>
        </m:r>
      </m:oMath>
      <w:r>
        <w:rPr>
          <w:i/>
          <w:iCs/>
        </w:rPr>
        <w:t xml:space="preserve"> is first introduced)</w:t>
      </w:r>
      <w:r>
        <w:rPr>
          <w:i/>
          <w:iCs/>
        </w:rPr>
        <w:br/>
      </w:r>
      <w:r>
        <w:t xml:space="preserve">function error_over_neighborhood(vertex </w:t>
      </w:r>
      <m:oMath>
        <m:r>
          <w:rPr>
            <w:rFonts w:ascii="Cambria Math" w:hAnsi="Cambria Math"/>
          </w:rPr>
          <m:t>w</m:t>
        </m:r>
      </m:oMath>
      <w:r>
        <w:t xml:space="preserve">, vertex </w:t>
      </w:r>
      <m:oMath>
        <m:r>
          <w:rPr>
            <w:rFonts w:ascii="Cambria Math" w:hAnsi="Cambria Math"/>
          </w:rPr>
          <m:t>v</m:t>
        </m:r>
      </m:oMath>
      <w:r>
        <w:t>)</w:t>
      </w:r>
      <w:r>
        <w:rPr>
          <w:i/>
          <w:iCs/>
        </w:rPr>
        <w:t xml:space="preserve"> </w:t>
      </w:r>
      <w:r>
        <w:br/>
        <w:t xml:space="preserve">    return</w:t>
      </w:r>
      <w:r w:rsidR="008E3EC8">
        <w:t xml:space="preserve"> </w:t>
      </w:r>
      <m:oMath>
        <m:sSup>
          <m:sSupPr>
            <m:ctrlPr>
              <w:rPr>
                <w:rFonts w:ascii="Cambria Math" w:hAnsi="Cambria Math"/>
                <w:i/>
              </w:rPr>
            </m:ctrlPr>
          </m:sSupPr>
          <m:e>
            <m:r>
              <m:rPr>
                <m:sty m:val="p"/>
              </m:rPr>
              <w:rPr>
                <w:rFonts w:ascii="Cambria Math" w:hAnsi="Cambria Math"/>
              </w:rPr>
              <m:t>Ψ</m:t>
            </m:r>
            <m:ctrlPr>
              <w:rPr>
                <w:rFonts w:ascii="Cambria Math" w:hAnsi="Cambria Math"/>
              </w:rPr>
            </m:ctrlPr>
          </m:e>
          <m:sup>
            <m:r>
              <w:rPr>
                <w:rFonts w:ascii="Cambria Math" w:hAnsi="Cambria Math"/>
              </w:rPr>
              <m:t>'</m:t>
            </m:r>
          </m:sup>
        </m:sSup>
        <m:d>
          <m:dPr>
            <m:ctrlPr>
              <w:rPr>
                <w:rFonts w:ascii="Cambria Math" w:hAnsi="Cambria Math"/>
                <w:i/>
              </w:rPr>
            </m:ctrlPr>
          </m:dPr>
          <m:e>
            <m:r>
              <m:rPr>
                <m:nor/>
              </m:rPr>
              <w:rPr>
                <w:rFonts w:ascii="Cambria Math" w:hAnsi="Cambria Math"/>
              </w:rPr>
              <m:t>level</m:t>
            </m:r>
            <m:d>
              <m:dPr>
                <m:ctrlPr>
                  <w:rPr>
                    <w:rFonts w:ascii="Cambria Math" w:hAnsi="Cambria Math"/>
                    <w:i/>
                  </w:rPr>
                </m:ctrlPr>
              </m:dPr>
              <m:e>
                <m:r>
                  <w:rPr>
                    <w:rFonts w:ascii="Cambria Math" w:hAnsi="Cambria Math"/>
                  </w:rPr>
                  <m:t>w</m:t>
                </m:r>
              </m:e>
            </m:d>
          </m:e>
        </m:d>
        <m:r>
          <w:rPr>
            <w:rFonts w:ascii="Cambria Math" w:hAnsi="Cambria Math"/>
          </w:rPr>
          <m:t>*</m:t>
        </m:r>
      </m:oMath>
      <w:r>
        <w:rPr>
          <w:rFonts w:ascii="Symbol" w:hAnsi="Symbol"/>
        </w:rPr>
        <w:t></w:t>
      </w:r>
      <w:r>
        <w:rPr>
          <w:rFonts w:ascii="Symbol" w:hAnsi="Symbol"/>
        </w:rPr>
        <w:br/>
      </w:r>
      <w:r w:rsidR="008E3EC8">
        <w:rPr>
          <w:rFonts w:ascii="Symbol" w:hAnsi="Symbol"/>
        </w:rPr>
        <w:t></w:t>
      </w:r>
      <w:r w:rsidR="008E3EC8">
        <w:rPr>
          <w:rFonts w:ascii="Symbol" w:hAnsi="Symbol"/>
        </w:rPr>
        <w:t></w:t>
      </w:r>
      <w:r w:rsidR="008E3EC8">
        <w:rPr>
          <w:rFonts w:ascii="Symbol" w:hAnsi="Symbol"/>
        </w:rPr>
        <w:t></w:t>
      </w:r>
      <w:r w:rsidR="008E3EC8">
        <w:rPr>
          <w:rFonts w:ascii="Symbol" w:hAnsi="Symbol"/>
        </w:rPr>
        <w:t></w:t>
      </w:r>
      <w:r w:rsidR="008E3EC8">
        <w:rPr>
          <w:rFonts w:ascii="Symbol" w:hAnsi="Symbol"/>
        </w:rPr>
        <w:t></w:t>
      </w:r>
      <w:r w:rsidR="008E3EC8">
        <w:rPr>
          <w:rFonts w:ascii="Symbol" w:hAnsi="Symbol"/>
        </w:rPr>
        <w:t></w:t>
      </w:r>
      <w:r w:rsidR="008E3EC8">
        <w:rPr>
          <w:rFonts w:ascii="Symbol" w:hAnsi="Symbol"/>
        </w:rPr>
        <w:t></w:t>
      </w:r>
      <w:r>
        <w:rPr>
          <w:rFonts w:ascii="Symbol" w:hAnsi="Symbol"/>
        </w:rPr>
        <w:t></w:t>
      </w:r>
      <w:r>
        <w:t xml:space="preserve">   </w:t>
      </w:r>
      <m:oMath>
        <m:r>
          <w:rPr>
            <w:rFonts w:ascii="Cambria Math" w:hAnsi="Cambria Math"/>
          </w:rPr>
          <m:t>λ</m:t>
        </m:r>
      </m:oMath>
      <w:r>
        <w:rPr>
          <w:rFonts w:ascii="Symbol" w:hAnsi="Symbol"/>
        </w:rPr>
        <w:t></w:t>
      </w:r>
      <w:r>
        <w:rPr>
          <w:rFonts w:ascii="Symbol" w:hAnsi="Symbol"/>
        </w:rPr>
        <w:t></w:t>
      </w:r>
      <w:r>
        <w:rPr>
          <w:rFonts w:ascii="Symbol" w:hAnsi="Symbol"/>
        </w:rPr>
        <w:t></w:t>
      </w:r>
      <w:r>
        <w:t>stretch_error(</w:t>
      </w:r>
      <m:oMath>
        <m:r>
          <w:rPr>
            <w:rFonts w:ascii="Cambria Math" w:hAnsi="Cambria Math"/>
          </w:rPr>
          <m:t>w</m:t>
        </m:r>
      </m:oMath>
      <w:r>
        <w:t>, original_neighbors(</w:t>
      </w:r>
      <m:oMath>
        <m:r>
          <w:rPr>
            <w:rFonts w:ascii="Cambria Math" w:hAnsi="Cambria Math"/>
          </w:rPr>
          <m:t>w</m:t>
        </m:r>
      </m:oMath>
      <w:r>
        <w:t xml:space="preserve">), </w:t>
      </w:r>
      <m:oMath>
        <m:r>
          <w:rPr>
            <w:rFonts w:ascii="Cambria Math" w:hAnsi="Cambria Math"/>
          </w:rPr>
          <m:t>v</m:t>
        </m:r>
      </m:oMath>
      <w:r w:rsidR="008E3EC8">
        <w:t>) +</w:t>
      </w:r>
      <w:r w:rsidR="008E3EC8">
        <w:br/>
        <w:t xml:space="preserve">       </w:t>
      </w:r>
      <m:oMath>
        <m:d>
          <m:dPr>
            <m:ctrlPr>
              <w:rPr>
                <w:rFonts w:ascii="Cambria Math" w:hAnsi="Cambria Math"/>
                <w:i/>
              </w:rPr>
            </m:ctrlPr>
          </m:dPr>
          <m:e>
            <m:r>
              <w:rPr>
                <w:rFonts w:ascii="Cambria Math" w:hAnsi="Cambria Math"/>
              </w:rPr>
              <m:t>1-λ</m:t>
            </m:r>
          </m:e>
        </m:d>
        <m:r>
          <w:rPr>
            <w:rFonts w:ascii="Cambria Math" w:hAnsi="Cambria Math"/>
          </w:rPr>
          <m:t>*</m:t>
        </m:r>
      </m:oMath>
      <w:r>
        <w:t xml:space="preserve"> deviation_error(</w:t>
      </w:r>
      <m:oMath>
        <m:r>
          <w:rPr>
            <w:rFonts w:ascii="Cambria Math" w:hAnsi="Cambria Math"/>
          </w:rPr>
          <m:t>w</m:t>
        </m:r>
      </m:oMath>
      <w:r>
        <w:t>, original_neighbors(</w:t>
      </w:r>
      <m:oMath>
        <m:r>
          <w:rPr>
            <w:rFonts w:ascii="Cambria Math" w:hAnsi="Cambria Math"/>
          </w:rPr>
          <m:t>w</m:t>
        </m:r>
      </m:oMath>
      <w:r>
        <w:t xml:space="preserve">), </w:t>
      </w:r>
      <m:oMath>
        <m:r>
          <w:rPr>
            <w:rFonts w:ascii="Cambria Math" w:hAnsi="Cambria Math"/>
          </w:rPr>
          <m:t>v</m:t>
        </m:r>
      </m:oMath>
      <w:r>
        <w:t>)</w:t>
      </w:r>
      <w:r w:rsidR="008E3EC8">
        <w:t xml:space="preserve"> </w:t>
      </w:r>
      <m:oMath>
        <m:r>
          <m:rPr>
            <m:lit/>
          </m:rP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n</m:t>
                </m:r>
              </m:sup>
            </m:sSup>
          </m:e>
        </m:d>
      </m:oMath>
      <w:r>
        <w:t xml:space="preserve"> ]</w:t>
      </w:r>
    </w:p>
    <w:p w:rsidR="00721B98" w:rsidRDefault="00721B98">
      <w:r>
        <w:t>As in Section</w:t>
      </w:r>
      <w:r w:rsidR="00932427">
        <w:t xml:space="preserve"> </w:t>
      </w:r>
      <w:r w:rsidR="00932427">
        <w:fldChar w:fldCharType="begin"/>
      </w:r>
      <w:r w:rsidR="00932427">
        <w:instrText xml:space="preserve"> REF _Ref514083367 \r \h </w:instrText>
      </w:r>
      <w:r w:rsidR="00932427">
        <w:fldChar w:fldCharType="separate"/>
      </w:r>
      <w:r w:rsidR="00FF60D9">
        <w:t>4.4</w:t>
      </w:r>
      <w:r w:rsidR="00932427">
        <w:fldChar w:fldCharType="end"/>
      </w:r>
      <w:r>
        <w:t>, we approximate the deviation error</w:t>
      </w:r>
      <w:r w:rsidR="007312E9">
        <w:t xml:space="preserve"> </w:t>
      </w:r>
      <m:oMath>
        <m:r>
          <w:rPr>
            <w:rFonts w:ascii="Cambria Math" w:hAnsi="Cambria Math"/>
          </w:rPr>
          <m:t>d</m:t>
        </m:r>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i</m:t>
                </m:r>
              </m:sup>
            </m:sSup>
            <m:r>
              <w:rPr>
                <w:rFonts w:ascii="Cambria Math" w:hAnsi="Cambria Math"/>
              </w:rPr>
              <m:t xml:space="preserve">, </m:t>
            </m:r>
            <m:sSup>
              <m:sSupPr>
                <m:ctrlPr>
                  <w:rPr>
                    <w:rFonts w:ascii="Cambria Math" w:hAnsi="Cambria Math"/>
                    <w:i/>
                  </w:rPr>
                </m:ctrlPr>
              </m:sSupPr>
              <m:e>
                <m:r>
                  <w:rPr>
                    <w:rFonts w:ascii="Cambria Math" w:hAnsi="Cambria Math"/>
                  </w:rPr>
                  <m:t>M</m:t>
                </m:r>
              </m:e>
              <m:sup>
                <m:r>
                  <w:rPr>
                    <w:rFonts w:ascii="Cambria Math" w:hAnsi="Cambria Math"/>
                  </w:rPr>
                  <m:t>n</m:t>
                </m:r>
              </m:sup>
            </m:sSup>
          </m:e>
        </m:d>
      </m:oMath>
      <w:r w:rsidR="007312E9">
        <w:t xml:space="preserve"> </w:t>
      </w:r>
      <w:r>
        <w:t>with the incremental deviation error</w:t>
      </w:r>
      <w:r w:rsidR="007312E9">
        <w:t xml:space="preserve"> </w:t>
      </w:r>
      <m:oMath>
        <m:r>
          <w:rPr>
            <w:rFonts w:ascii="Cambria Math" w:hAnsi="Cambria Math"/>
          </w:rPr>
          <m:t>d</m:t>
        </m:r>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i</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i+1</m:t>
                </m:r>
              </m:sup>
            </m:sSup>
          </m:e>
        </m:d>
      </m:oMath>
      <w:r>
        <w:t>.  Because we define our stretch metric to be infinite when a face is flipped in the parameter domain, stretch minimization prevents parametric flipping in all meshes.  One final detail is that we also optimize the parametrization of vertices along chart boundaries.  Since these vertices have texture coordinates in two adjacent charts, we must consider the refinement neighborhoods in both charts simu</w:t>
      </w:r>
      <w:r>
        <w:t>l</w:t>
      </w:r>
      <w:r>
        <w:t>taneously.  Specifically, we must constrain the parametrizations to remain on the boundaries, and optimize over shared barycentric coordinates along the boundary to prevent “parametric cracks”.</w:t>
      </w:r>
    </w:p>
    <w:p w:rsidR="00721B98" w:rsidRDefault="00721B98">
      <w:pPr>
        <w:pStyle w:val="Heading2"/>
      </w:pPr>
      <w:r>
        <w:t>Pack chart polygons</w:t>
      </w:r>
    </w:p>
    <w:p w:rsidR="00721B98" w:rsidRDefault="00721B98">
      <w:r>
        <w:t xml:space="preserve">Since the optimization in Section </w:t>
      </w:r>
      <w:r>
        <w:fldChar w:fldCharType="begin"/>
      </w:r>
      <w:r>
        <w:instrText xml:space="preserve"> REF _Ref503347931 \r \h </w:instrText>
      </w:r>
      <w:r>
        <w:fldChar w:fldCharType="separate"/>
      </w:r>
      <w:r w:rsidR="00FF60D9">
        <w:t>4.5</w:t>
      </w:r>
      <w:r>
        <w:fldChar w:fldCharType="end"/>
      </w:r>
      <w:r>
        <w:t xml:space="preserve"> modifies the parametriz</w:t>
      </w:r>
      <w:r>
        <w:t>a</w:t>
      </w:r>
      <w:r>
        <w:t xml:space="preserve">tion, we perform a final chart resizing step as in Section </w:t>
      </w:r>
      <w:r>
        <w:fldChar w:fldCharType="begin"/>
      </w:r>
      <w:r>
        <w:instrText xml:space="preserve"> REF _Ref503082124 \r \h </w:instrText>
      </w:r>
      <w:r>
        <w:fldChar w:fldCharType="separate"/>
      </w:r>
      <w:r w:rsidR="00FF60D9">
        <w:t>4.3</w:t>
      </w:r>
      <w:r>
        <w:fldChar w:fldCharType="end"/>
      </w:r>
      <w:r>
        <w:t>.</w:t>
      </w:r>
    </w:p>
    <w:p w:rsidR="00721B98" w:rsidRDefault="00721B98">
      <w:r>
        <w:t>The next step is to pack these resized charts into a rectangular texture image.  In the context of texture mapping, various heuri</w:t>
      </w:r>
      <w:r>
        <w:t>s</w:t>
      </w:r>
      <w:r>
        <w:t xml:space="preserve">tics have been presented for the special case of packing 3-sided charts </w:t>
      </w:r>
      <w:r>
        <w:fldChar w:fldCharType="begin"/>
      </w:r>
      <w:r>
        <w:instrText xml:space="preserve"> REF _Ref501777335 \r \h </w:instrText>
      </w:r>
      <w:r>
        <w:fldChar w:fldCharType="separate"/>
      </w:r>
      <w:r w:rsidR="00FF60D9">
        <w:t>[2]</w:t>
      </w:r>
      <w:r>
        <w:fldChar w:fldCharType="end"/>
      </w:r>
      <w:r>
        <w:fldChar w:fldCharType="begin"/>
      </w:r>
      <w:r>
        <w:instrText xml:space="preserve"> REF _Ref501777744 \r \h </w:instrText>
      </w:r>
      <w:r>
        <w:fldChar w:fldCharType="separate"/>
      </w:r>
      <w:r w:rsidR="00FF60D9">
        <w:t>[22]</w:t>
      </w:r>
      <w:r>
        <w:fldChar w:fldCharType="end"/>
      </w:r>
      <w:r>
        <w:fldChar w:fldCharType="begin"/>
      </w:r>
      <w:r>
        <w:instrText xml:space="preserve"> REF _Ref501777745 \r \h </w:instrText>
      </w:r>
      <w:r>
        <w:fldChar w:fldCharType="separate"/>
      </w:r>
      <w:r w:rsidR="00FF60D9">
        <w:t>[25]</w:t>
      </w:r>
      <w:r>
        <w:fldChar w:fldCharType="end"/>
      </w:r>
      <w:r>
        <w:fldChar w:fldCharType="begin"/>
      </w:r>
      <w:r>
        <w:instrText xml:space="preserve"> REF _Ref501777748 \r \h </w:instrText>
      </w:r>
      <w:r>
        <w:fldChar w:fldCharType="separate"/>
      </w:r>
      <w:r w:rsidR="00FF60D9">
        <w:t>[27]</w:t>
      </w:r>
      <w:r>
        <w:fldChar w:fldCharType="end"/>
      </w:r>
      <w:r>
        <w:t xml:space="preserve">.  However, our chart boundaries can be arbitrary polygons.  The general problem is known as the NP-hard </w:t>
      </w:r>
      <w:r>
        <w:rPr>
          <w:i/>
          <w:iCs/>
        </w:rPr>
        <w:t>pants packing</w:t>
      </w:r>
      <w:r>
        <w:t xml:space="preserve"> problem </w:t>
      </w:r>
      <w:r>
        <w:fldChar w:fldCharType="begin"/>
      </w:r>
      <w:r>
        <w:instrText xml:space="preserve"> REF _Ref501789176 \r \h </w:instrText>
      </w:r>
      <w:r>
        <w:fldChar w:fldCharType="separate"/>
      </w:r>
      <w:r w:rsidR="00FF60D9">
        <w:t>[23]</w:t>
      </w:r>
      <w:r>
        <w:fldChar w:fldCharType="end"/>
      </w:r>
      <w:r>
        <w:t>.</w:t>
      </w:r>
    </w:p>
    <w:p w:rsidR="00721B98" w:rsidRDefault="00721B98">
      <w:r>
        <w:t xml:space="preserve">We simplify the problem by conservatively approximating each chart polygon with the least-area rectangle that encloses it.  This rectangle is found efficiently by considering each edge of the polygon’s convex hull.  Fortunately, our chart polygons are reasonably shaped, so the rectangle approximation is not too costly.  We rotate the chart to align the long axis of the rectangle with the vertical direction.  The problem then becomes that of rectangle packing, which is still NP-hard, but for which there exist good heuristic approximations (e.g. </w:t>
      </w:r>
      <w:r>
        <w:fldChar w:fldCharType="begin"/>
      </w:r>
      <w:r>
        <w:instrText xml:space="preserve"> REF _Ref513025090 \r \h </w:instrText>
      </w:r>
      <w:r>
        <w:fldChar w:fldCharType="separate"/>
      </w:r>
      <w:r w:rsidR="00FF60D9">
        <w:t>[14]</w:t>
      </w:r>
      <w:r>
        <w:fldChar w:fldCharType="end"/>
      </w:r>
      <w:r>
        <w:fldChar w:fldCharType="begin"/>
      </w:r>
      <w:r>
        <w:instrText xml:space="preserve"> REF _Ref501779149 \r \h </w:instrText>
      </w:r>
      <w:r>
        <w:fldChar w:fldCharType="separate"/>
      </w:r>
      <w:r w:rsidR="00FF60D9">
        <w:t>[24]</w:t>
      </w:r>
      <w:r>
        <w:fldChar w:fldCharType="end"/>
      </w:r>
      <w:r>
        <w:t>).  We develop our own simple heuristic, which works as follows.</w:t>
      </w:r>
    </w:p>
    <w:p w:rsidR="00721B98" w:rsidRDefault="00721B98">
      <w:r>
        <w:t xml:space="preserve">We sort the rectangles by height.  In order of decreasing height, we place the rectangles sequentially into rows in alternating left-to-right and right-to-left order as shown in </w:t>
      </w:r>
      <w:r>
        <w:fldChar w:fldCharType="begin"/>
      </w:r>
      <w:r>
        <w:instrText xml:space="preserve"> REF _Ref501728282 \h </w:instrText>
      </w:r>
      <w:r>
        <w:fldChar w:fldCharType="separate"/>
      </w:r>
      <w:r w:rsidR="00FF60D9">
        <w:t xml:space="preserve">Figure </w:t>
      </w:r>
      <w:r w:rsidR="00FF60D9">
        <w:rPr>
          <w:noProof/>
        </w:rPr>
        <w:t>4</w:t>
      </w:r>
      <w:r>
        <w:fldChar w:fldCharType="end"/>
      </w:r>
      <w:r>
        <w:t xml:space="preserve">c </w:t>
      </w:r>
      <w:r>
        <w:fldChar w:fldCharType="begin"/>
      </w:r>
      <w:r>
        <w:instrText xml:space="preserve"> REF _Ref513025090 \r \h </w:instrText>
      </w:r>
      <w:r>
        <w:fldChar w:fldCharType="separate"/>
      </w:r>
      <w:r w:rsidR="00FF60D9">
        <w:t>[14]</w:t>
      </w:r>
      <w:r>
        <w:fldChar w:fldCharType="end"/>
      </w:r>
      <w:r>
        <w:t>.  Through binary search, we optimize over the texture width such that the packing minimizes the area of the enclosing square.</w:t>
      </w:r>
    </w:p>
    <w:p w:rsidR="00721B98" w:rsidRDefault="00721B98">
      <w:r>
        <w:t xml:space="preserve">When the desired texture sampling density is later determined, we leave a one texel gap between adjacent charts.  Section </w:t>
      </w:r>
      <w:r>
        <w:fldChar w:fldCharType="begin"/>
      </w:r>
      <w:r>
        <w:instrText xml:space="preserve"> REF _Ref503175265 \r \h </w:instrText>
      </w:r>
      <w:r>
        <w:fldChar w:fldCharType="separate"/>
      </w:r>
      <w:r w:rsidR="00FF60D9">
        <w:t>5</w:t>
      </w:r>
      <w:r>
        <w:fldChar w:fldCharType="end"/>
      </w:r>
      <w:r>
        <w:t xml:space="preserve"> reports results of our chart packing efficiency.</w:t>
      </w:r>
    </w:p>
    <w:p w:rsidR="00721B98" w:rsidRDefault="00721B98">
      <w:pPr>
        <w:pStyle w:val="Heading2"/>
      </w:pPr>
      <w:bookmarkStart w:id="12" w:name="_Ref503176182"/>
      <w:r>
        <w:t>Sample texture images</w:t>
      </w:r>
      <w:bookmarkEnd w:id="12"/>
    </w:p>
    <w:p w:rsidR="00721B98" w:rsidRDefault="00721B98">
      <w:r>
        <w:t>The packed charts define a texture atlas for the surface.  We use the atlas to sample attributes from the surface</w:t>
      </w:r>
      <w:r w:rsidR="007312E9">
        <w:t xml:space="preserve"> </w:t>
      </w:r>
      <m:oMath>
        <m:sSup>
          <m:sSupPr>
            <m:ctrlPr>
              <w:rPr>
                <w:rFonts w:ascii="Cambria Math" w:hAnsi="Cambria Math"/>
                <w:i/>
              </w:rPr>
            </m:ctrlPr>
          </m:sSupPr>
          <m:e>
            <m:r>
              <w:rPr>
                <w:rFonts w:ascii="Cambria Math" w:hAnsi="Cambria Math"/>
              </w:rPr>
              <m:t>M</m:t>
            </m:r>
          </m:e>
          <m:sup>
            <m:r>
              <w:rPr>
                <w:rFonts w:ascii="Cambria Math" w:hAnsi="Cambria Math"/>
              </w:rPr>
              <m:t>n</m:t>
            </m:r>
          </m:sup>
        </m:sSup>
      </m:oMath>
      <w:r>
        <w:t xml:space="preserve"> into the texture domain, at the 2D grid of texel locations.  For improved filtering, we supersample the attributes using a 4x4 box filter.  Section </w:t>
      </w:r>
      <w:r>
        <w:fldChar w:fldCharType="begin"/>
      </w:r>
      <w:r>
        <w:instrText xml:space="preserve"> REF _Ref503175265 \r \h </w:instrText>
      </w:r>
      <w:r>
        <w:fldChar w:fldCharType="separate"/>
      </w:r>
      <w:r w:rsidR="00FF60D9">
        <w:t>5</w:t>
      </w:r>
      <w:r>
        <w:fldChar w:fldCharType="end"/>
      </w:r>
      <w:r>
        <w:t xml:space="preserve"> shows results of sampling colors and normals.</w:t>
      </w:r>
    </w:p>
    <w:p w:rsidR="00721B98" w:rsidRDefault="00721B98">
      <w:r>
        <w:t xml:space="preserve">If the highest frequency </w:t>
      </w:r>
      <m:oMath>
        <m:r>
          <w:rPr>
            <w:rFonts w:ascii="Cambria Math" w:hAnsi="Cambria Math"/>
          </w:rPr>
          <m:t>f</m:t>
        </m:r>
      </m:oMath>
      <w:r>
        <w:t xml:space="preserve"> of the attribute function over the su</w:t>
      </w:r>
      <w:r>
        <w:t>r</w:t>
      </w:r>
      <w:r>
        <w:t xml:space="preserve">face mesh is known, the stretch-based scale of the texture atlas makes it possible to estimate the required 2D grid sampling density.  With the charts resized as in Section </w:t>
      </w:r>
      <w:r>
        <w:fldChar w:fldCharType="begin"/>
      </w:r>
      <w:r>
        <w:instrText xml:space="preserve"> REF _Ref503082124 \r \h </w:instrText>
      </w:r>
      <w:r>
        <w:fldChar w:fldCharType="separate"/>
      </w:r>
      <w:r w:rsidR="00FF60D9">
        <w:t>4.3</w:t>
      </w:r>
      <w:r>
        <w:fldChar w:fldCharType="end"/>
      </w:r>
      <w:r>
        <w:t>, the 2D grid spacing should be set no more than</w:t>
      </w:r>
      <w:r w:rsidR="007312E9">
        <w:t xml:space="preserve"> </w:t>
      </w:r>
      <m:oMath>
        <m:r>
          <w:rPr>
            <w:rFonts w:ascii="Cambria Math" w:hAnsi="Cambria Math"/>
          </w:rPr>
          <m:t>1</m:t>
        </m:r>
        <m:r>
          <m:rPr>
            <m:lit/>
          </m:rPr>
          <w:rPr>
            <w:rFonts w:ascii="Cambria Math" w:hAnsi="Cambria Math"/>
          </w:rPr>
          <m:t>/</m:t>
        </m:r>
        <m:d>
          <m:dPr>
            <m:ctrlPr>
              <w:rPr>
                <w:rFonts w:ascii="Cambria Math" w:hAnsi="Cambria Math"/>
                <w:i/>
              </w:rPr>
            </m:ctrlPr>
          </m:dPr>
          <m:e>
            <m:r>
              <w:rPr>
                <w:rFonts w:ascii="Cambria Math" w:hAnsi="Cambria Math"/>
              </w:rPr>
              <m:t>2f</m:t>
            </m:r>
          </m:e>
        </m:d>
      </m:oMath>
      <w:r>
        <w:t>.</w:t>
      </w:r>
    </w:p>
    <w:p w:rsidR="00721B98" w:rsidRDefault="00721B98">
      <w:r>
        <w:t xml:space="preserve">In general, schemes that pack multiple charts into a single texture image may give rise to mip-mapping artifacts, since coarser mip-map levels will average together spatially disjoint charts.  The most immediate artifact is that chart boundaries are revealed if the inter-chart area is left unpainted (e.g. black).  </w:t>
      </w:r>
      <w:r w:rsidR="0018191B">
        <w:rPr>
          <w:noProof/>
        </w:rPr>
        <w:drawing>
          <wp:anchor distT="0" distB="0" distL="73025" distR="0" simplePos="0" relativeHeight="251658752" behindDoc="0" locked="0" layoutInCell="1" allowOverlap="1">
            <wp:simplePos x="0" y="0"/>
            <wp:positionH relativeFrom="column">
              <wp:posOffset>1764665</wp:posOffset>
            </wp:positionH>
            <wp:positionV relativeFrom="paragraph">
              <wp:posOffset>338455</wp:posOffset>
            </wp:positionV>
            <wp:extent cx="1276350" cy="1276350"/>
            <wp:effectExtent l="0" t="0" r="0" b="0"/>
            <wp:wrapSquare wrapText="bothSides"/>
            <wp:docPr id="1188" name="Picture 1188"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v1"/>
                    <pic:cNvPicPr>
                      <a:picLocks noChangeAspect="1" noChangeArrowheads="1"/>
                    </pic:cNvPicPr>
                  </pic:nvPicPr>
                  <pic:blipFill>
                    <a:blip r:embed="rId35">
                      <a:lum bright="6000"/>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To mitigate this, we apply a pull-push algorithm </w:t>
      </w:r>
      <w:r>
        <w:fldChar w:fldCharType="begin"/>
      </w:r>
      <w:r>
        <w:instrText xml:space="preserve"> REF _Ref513535682 \r \h </w:instrText>
      </w:r>
      <w:r>
        <w:fldChar w:fldCharType="separate"/>
      </w:r>
      <w:r w:rsidR="00FF60D9">
        <w:t>[7]</w:t>
      </w:r>
      <w:r>
        <w:fldChar w:fldCharType="end"/>
      </w:r>
      <w:r>
        <w:t xml:space="preserve"> to fill-in these unsampled regions with reasonable values.  As an example, the effect on the atlas image from </w:t>
      </w:r>
      <w:r>
        <w:fldChar w:fldCharType="begin"/>
      </w:r>
      <w:r>
        <w:instrText xml:space="preserve"> REF _Ref501728282 \h </w:instrText>
      </w:r>
      <w:r>
        <w:fldChar w:fldCharType="separate"/>
      </w:r>
      <w:r w:rsidR="00FF60D9">
        <w:t xml:space="preserve">Figure </w:t>
      </w:r>
      <w:r w:rsidR="00FF60D9">
        <w:rPr>
          <w:noProof/>
        </w:rPr>
        <w:t>4</w:t>
      </w:r>
      <w:r>
        <w:fldChar w:fldCharType="end"/>
      </w:r>
      <w:r>
        <w:t>c is shown on the right.</w:t>
      </w:r>
    </w:p>
    <w:p w:rsidR="00721B98" w:rsidRDefault="00721B98">
      <w:pPr>
        <w:pStyle w:val="Heading1"/>
      </w:pPr>
      <w:bookmarkStart w:id="13" w:name="_Ref503175265"/>
      <w:r>
        <w:t>Results</w:t>
      </w:r>
      <w:bookmarkEnd w:id="13"/>
    </w:p>
    <w:p w:rsidR="00721B98" w:rsidRDefault="00721B98">
      <w:r>
        <w:fldChar w:fldCharType="begin"/>
      </w:r>
      <w:r>
        <w:instrText xml:space="preserve"> REF _Ref501728282 \h </w:instrText>
      </w:r>
      <w:r>
        <w:fldChar w:fldCharType="separate"/>
      </w:r>
      <w:r w:rsidR="00FF60D9">
        <w:t xml:space="preserve">Figure </w:t>
      </w:r>
      <w:r w:rsidR="00FF60D9">
        <w:rPr>
          <w:noProof/>
        </w:rPr>
        <w:t>4</w:t>
      </w:r>
      <w:r>
        <w:fldChar w:fldCharType="end"/>
      </w:r>
      <w:r>
        <w:t xml:space="preserve"> shows an example result, where the texture image ca</w:t>
      </w:r>
      <w:r>
        <w:t>p</w:t>
      </w:r>
      <w:r>
        <w:t>tures pre-shaded colors from the original mesh</w:t>
      </w:r>
      <w:r w:rsidR="007312E9">
        <w:t xml:space="preserve"> </w:t>
      </w:r>
      <m:oMath>
        <m:sSup>
          <m:sSupPr>
            <m:ctrlPr>
              <w:rPr>
                <w:rFonts w:ascii="Cambria Math" w:hAnsi="Cambria Math"/>
                <w:i/>
              </w:rPr>
            </m:ctrlPr>
          </m:sSupPr>
          <m:e>
            <m:r>
              <w:rPr>
                <w:rFonts w:ascii="Cambria Math" w:hAnsi="Cambria Math"/>
              </w:rPr>
              <m:t>M</m:t>
            </m:r>
          </m:e>
          <m:sup>
            <m:r>
              <w:rPr>
                <w:rFonts w:ascii="Cambria Math" w:hAnsi="Cambria Math"/>
              </w:rPr>
              <m:t>n</m:t>
            </m:r>
          </m:sup>
        </m:sSup>
      </m:oMath>
      <w:r>
        <w:t>.  Although we only show the textured base mesh, the same texture atlas can of course be used on all other meshes</w:t>
      </w:r>
      <w:r w:rsidR="007312E9">
        <w:t xml:space="preserve"> </w:t>
      </w:r>
      <m:oMath>
        <m:sSup>
          <m:sSupPr>
            <m:ctrlPr>
              <w:rPr>
                <w:rFonts w:ascii="Cambria Math" w:hAnsi="Cambria Math"/>
                <w:i/>
              </w:rPr>
            </m:ctrlPr>
          </m:sSupPr>
          <m:e>
            <m:r>
              <w:rPr>
                <w:rFonts w:ascii="Cambria Math" w:hAnsi="Cambria Math"/>
              </w:rPr>
              <m:t>M</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n</m:t>
            </m:r>
          </m:sup>
        </m:sSup>
      </m:oMath>
      <w:r>
        <w:t xml:space="preserve"> in the PM, as shown on the accompanying video.</w:t>
      </w:r>
    </w:p>
    <w:p w:rsidR="00721B98" w:rsidRDefault="00721B98">
      <w:r>
        <w:fldChar w:fldCharType="begin"/>
      </w:r>
      <w:r>
        <w:instrText xml:space="preserve"> REF _Ref501881827 \h </w:instrText>
      </w:r>
      <w:r>
        <w:fldChar w:fldCharType="separate"/>
      </w:r>
      <w:r w:rsidR="00FF60D9">
        <w:t xml:space="preserve">Figure </w:t>
      </w:r>
      <w:r w:rsidR="00FF60D9">
        <w:rPr>
          <w:noProof/>
        </w:rPr>
        <w:t>5</w:t>
      </w:r>
      <w:r>
        <w:fldChar w:fldCharType="end"/>
      </w:r>
      <w:r>
        <w:t xml:space="preserve"> shows several mesh approximations in a PM sequence, where the texture image captures a normal map.  Because the PM meshes can have irregular connectivities, they quickly converge to good geometric approximations.  Hence the figure shows LOD meshes with relatively low face-counts, compared to the original mesh of nearly 97,000 faces.</w:t>
      </w:r>
    </w:p>
    <w:p w:rsidR="00721B98" w:rsidRDefault="00721B98">
      <w:r>
        <w:fldChar w:fldCharType="begin"/>
      </w:r>
      <w:r>
        <w:instrText xml:space="preserve"> REF _Ref503668139 \h </w:instrText>
      </w:r>
      <w:r>
        <w:fldChar w:fldCharType="separate"/>
      </w:r>
      <w:r w:rsidR="00FF60D9">
        <w:t xml:space="preserve">Figure </w:t>
      </w:r>
      <w:r w:rsidR="00FF60D9">
        <w:rPr>
          <w:noProof/>
        </w:rPr>
        <w:t>3</w:t>
      </w:r>
      <w:r>
        <w:fldChar w:fldCharType="end"/>
      </w:r>
      <w:r>
        <w:t xml:space="preserve"> compares graphs of texture stretch and deviation for meshes in a PM using various parametrization schemes.  The curve labeled “uniform” corresponds to uniform edge-spring parametrization followed by simplification minimizing texture deviation.  </w:t>
      </w:r>
      <w:r w:rsidR="00DA20B1">
        <w:t xml:space="preserve">(The harmonic </w:t>
      </w:r>
      <w:r w:rsidR="00DA20B1">
        <w:fldChar w:fldCharType="begin"/>
      </w:r>
      <w:r w:rsidR="00DA20B1">
        <w:instrText xml:space="preserve"> REF _Ref501778256 \r \h </w:instrText>
      </w:r>
      <w:r w:rsidR="00DA20B1">
        <w:fldChar w:fldCharType="separate"/>
      </w:r>
      <w:r w:rsidR="00FF60D9">
        <w:t>[4]</w:t>
      </w:r>
      <w:r w:rsidR="00DA20B1">
        <w:fldChar w:fldCharType="end"/>
      </w:r>
      <w:r w:rsidR="00DA20B1">
        <w:t xml:space="preserve"> and Floater </w:t>
      </w:r>
      <w:r w:rsidR="00DA20B1">
        <w:fldChar w:fldCharType="begin"/>
      </w:r>
      <w:r w:rsidR="00DA20B1">
        <w:instrText xml:space="preserve"> REF _Ref501788518 \r \h </w:instrText>
      </w:r>
      <w:r w:rsidR="00DA20B1">
        <w:fldChar w:fldCharType="separate"/>
      </w:r>
      <w:r w:rsidR="00FF60D9">
        <w:t>[5]</w:t>
      </w:r>
      <w:r w:rsidR="00DA20B1">
        <w:fldChar w:fldCharType="end"/>
      </w:r>
      <w:r w:rsidR="00DA20B1">
        <w:t xml:space="preserve"> parametrizations typically have even greater stretch than the uniform parametriz</w:t>
      </w:r>
      <w:r w:rsidR="00DA20B1">
        <w:t>a</w:t>
      </w:r>
      <w:r w:rsidR="00DA20B1">
        <w:t xml:space="preserve">tion.)  </w:t>
      </w:r>
      <w:r>
        <w:t xml:space="preserve">The curve labeled “min-stretch param.” replaces the initial parametrization with our scheme of Section </w:t>
      </w:r>
      <w:r>
        <w:fldChar w:fldCharType="begin"/>
      </w:r>
      <w:r>
        <w:instrText xml:space="preserve"> REF _Ref503522573 \r \h </w:instrText>
      </w:r>
      <w:r>
        <w:fldChar w:fldCharType="separate"/>
      </w:r>
      <w:r w:rsidR="00FF60D9">
        <w:t>4.2</w:t>
      </w:r>
      <w:r>
        <w:fldChar w:fldCharType="end"/>
      </w:r>
      <w:r>
        <w:t>.  As is evident in the graph, parametric stretch is reduced for the finest mesh</w:t>
      </w:r>
      <w:r w:rsidR="007312E9">
        <w:t xml:space="preserve"> </w:t>
      </w:r>
      <m:oMath>
        <m:sSup>
          <m:sSupPr>
            <m:ctrlPr>
              <w:rPr>
                <w:rFonts w:ascii="Cambria Math" w:hAnsi="Cambria Math"/>
                <w:i/>
              </w:rPr>
            </m:ctrlPr>
          </m:sSupPr>
          <m:e>
            <m:r>
              <w:rPr>
                <w:rFonts w:ascii="Cambria Math" w:hAnsi="Cambria Math"/>
              </w:rPr>
              <m:t>M</m:t>
            </m:r>
          </m:e>
          <m:sup>
            <m:r>
              <w:rPr>
                <w:rFonts w:ascii="Cambria Math" w:hAnsi="Cambria Math"/>
              </w:rPr>
              <m:t>n</m:t>
            </m:r>
          </m:sup>
        </m:sSup>
      </m:oMath>
      <w:r>
        <w:t xml:space="preserve">.  (This difference is often more significant as shown in </w:t>
      </w:r>
      <w:r>
        <w:fldChar w:fldCharType="begin"/>
      </w:r>
      <w:r>
        <w:instrText xml:space="preserve"> REF _Ref503348532 \h </w:instrText>
      </w:r>
      <w:r>
        <w:fldChar w:fldCharType="separate"/>
      </w:r>
      <w:r w:rsidR="00FF60D9">
        <w:t xml:space="preserve">Table </w:t>
      </w:r>
      <w:r w:rsidR="00FF60D9">
        <w:rPr>
          <w:noProof/>
        </w:rPr>
        <w:t>1</w:t>
      </w:r>
      <w:r>
        <w:fldChar w:fldCharType="end"/>
      </w:r>
      <w:r>
        <w:t xml:space="preserve">.)  The curve may appear bumpy because stretch is ignored during simplification.  Finally, the curve labeled “min-stretch + optimiz.” adds our parametrization optimization of Section </w:t>
      </w:r>
      <w:r>
        <w:fldChar w:fldCharType="begin"/>
      </w:r>
      <w:r>
        <w:instrText xml:space="preserve"> REF _Ref503347931 \r \h </w:instrText>
      </w:r>
      <w:r>
        <w:fldChar w:fldCharType="separate"/>
      </w:r>
      <w:r w:rsidR="00FF60D9">
        <w:t>4.5</w:t>
      </w:r>
      <w:r>
        <w:fldChar w:fldCharType="end"/>
      </w:r>
      <w:r>
        <w:t>.  Note that it improves stretch at lower LODs, while also improving texture deviation over the whole range.</w:t>
      </w:r>
    </w:p>
    <w:p w:rsidR="00721B98" w:rsidRDefault="00721B98">
      <w:r>
        <w:t xml:space="preserve">As demonstrated in </w:t>
      </w:r>
      <w:r>
        <w:fldChar w:fldCharType="begin"/>
      </w:r>
      <w:r>
        <w:instrText xml:space="preserve"> REF _Ref501727242 \h </w:instrText>
      </w:r>
      <w:r>
        <w:fldChar w:fldCharType="separate"/>
      </w:r>
      <w:r w:rsidR="00FF60D9">
        <w:t xml:space="preserve">Figure </w:t>
      </w:r>
      <w:r w:rsidR="00FF60D9">
        <w:rPr>
          <w:noProof/>
        </w:rPr>
        <w:t>6</w:t>
      </w:r>
      <w:r>
        <w:fldChar w:fldCharType="end"/>
      </w:r>
      <w:r>
        <w:t>, ignoring texture stretch during parametrization results in non-uniform surface sampling, which becomes apparent as loss of detail over regions of high stretch distortion.</w:t>
      </w:r>
    </w:p>
    <w:tbl>
      <w:tblPr>
        <w:tblW w:w="5082" w:type="pct"/>
        <w:tblCellMar>
          <w:left w:w="0" w:type="dxa"/>
          <w:right w:w="0" w:type="dxa"/>
        </w:tblCellMar>
        <w:tblLook w:val="0000" w:firstRow="0" w:lastRow="0" w:firstColumn="0" w:lastColumn="0" w:noHBand="0" w:noVBand="0"/>
      </w:tblPr>
      <w:tblGrid>
        <w:gridCol w:w="4874"/>
      </w:tblGrid>
      <w:tr w:rsidR="00721B98">
        <w:trPr>
          <w:cantSplit/>
        </w:trPr>
        <w:tc>
          <w:tcPr>
            <w:tcW w:w="5000" w:type="pct"/>
          </w:tcPr>
          <w:p w:rsidR="00721B98" w:rsidRDefault="0018191B" w:rsidP="00880A85">
            <w:pPr>
              <w:spacing w:after="60"/>
              <w:jc w:val="center"/>
            </w:pPr>
            <w:r>
              <w:rPr>
                <w:noProof/>
              </w:rPr>
              <w:drawing>
                <wp:inline distT="0" distB="0" distL="0" distR="0" wp14:anchorId="0356C68B" wp14:editId="330B7081">
                  <wp:extent cx="2950106" cy="2081284"/>
                  <wp:effectExtent l="0" t="0" r="22225" b="14605"/>
                  <wp:docPr id="48" name="Object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721B98">
        <w:tc>
          <w:tcPr>
            <w:tcW w:w="5000" w:type="pct"/>
          </w:tcPr>
          <w:p w:rsidR="00721B98" w:rsidRDefault="0018191B" w:rsidP="00880A85">
            <w:pPr>
              <w:pStyle w:val="Caption"/>
              <w:spacing w:before="0"/>
              <w:ind w:left="0"/>
              <w:rPr>
                <w:rFonts w:ascii="Symbol" w:hAnsi="Symbol"/>
              </w:rPr>
            </w:pPr>
            <w:r>
              <w:rPr>
                <w:noProof/>
              </w:rPr>
              <w:drawing>
                <wp:inline distT="0" distB="0" distL="0" distR="0" wp14:anchorId="0789B2D4" wp14:editId="489E33E0">
                  <wp:extent cx="2949623" cy="2074459"/>
                  <wp:effectExtent l="0" t="0" r="22225" b="21590"/>
                  <wp:docPr id="49" name="Object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721B98">
        <w:tc>
          <w:tcPr>
            <w:tcW w:w="5000" w:type="pct"/>
          </w:tcPr>
          <w:p w:rsidR="00721B98" w:rsidRDefault="00721B98" w:rsidP="007312E9">
            <w:pPr>
              <w:pStyle w:val="Caption"/>
              <w:spacing w:after="100"/>
              <w:ind w:left="0"/>
              <w:jc w:val="both"/>
            </w:pPr>
            <w:bookmarkStart w:id="14" w:name="_Ref503668139"/>
            <w:r>
              <w:t xml:space="preserve">Figure </w:t>
            </w:r>
            <w:fldSimple w:instr=" SEQ Figure \* ARABIC ">
              <w:r w:rsidR="00FF60D9">
                <w:rPr>
                  <w:noProof/>
                </w:rPr>
                <w:t>3</w:t>
              </w:r>
            </w:fldSimple>
            <w:bookmarkEnd w:id="14"/>
            <w:r>
              <w:t>: Error graphs of texture stretch and deviation over the horse PM sequence, both measured using</w:t>
            </w:r>
            <w:r w:rsidR="007312E9">
              <w:t xml:space="preserve"> </w:t>
            </w:r>
            <m:oMath>
              <m:sSup>
                <m:sSupPr>
                  <m:ctrlPr>
                    <w:rPr>
                      <w:rFonts w:ascii="Cambria Math" w:hAnsi="Cambria Math"/>
                      <w:i/>
                    </w:rPr>
                  </m:ctrlPr>
                </m:sSupPr>
                <m:e>
                  <m:r>
                    <w:rPr>
                      <w:rFonts w:ascii="Cambria Math" w:hAnsi="Cambria Math"/>
                    </w:rPr>
                    <m:t>L</m:t>
                  </m:r>
                </m:e>
                <m:sup>
                  <m:r>
                    <w:rPr>
                      <w:rFonts w:ascii="Cambria Math" w:hAnsi="Cambria Math"/>
                    </w:rPr>
                    <m:t>2</m:t>
                  </m:r>
                </m:sup>
              </m:sSup>
            </m:oMath>
            <w:r>
              <w:t xml:space="preserve"> norms and weighted by the</w:t>
            </w:r>
            <w:r w:rsidR="007312E9">
              <w:t xml:space="preserve"> </w:t>
            </w:r>
            <m:oMath>
              <m:r>
                <w:rPr>
                  <w:rFonts w:ascii="Cambria Math" w:hAnsi="Cambria Math"/>
                </w:rPr>
                <m:t>ψ</m:t>
              </m:r>
              <m:d>
                <m:dPr>
                  <m:ctrlPr>
                    <w:rPr>
                      <w:rFonts w:ascii="Cambria Math" w:hAnsi="Cambria Math"/>
                      <w:i/>
                    </w:rPr>
                  </m:ctrlPr>
                </m:dPr>
                <m:e>
                  <m:r>
                    <w:rPr>
                      <w:rFonts w:ascii="Cambria Math" w:hAnsi="Cambria Math"/>
                    </w:rPr>
                    <m:t>i</m:t>
                  </m:r>
                </m:e>
              </m:d>
            </m:oMath>
            <w:r>
              <w:t xml:space="preserve"> factor from Section </w:t>
            </w:r>
            <w:r>
              <w:fldChar w:fldCharType="begin"/>
            </w:r>
            <w:r>
              <w:instrText xml:space="preserve"> REF _Ref503347931 \r \h </w:instrText>
            </w:r>
            <w:r>
              <w:fldChar w:fldCharType="separate"/>
            </w:r>
            <w:r w:rsidR="00FF60D9">
              <w:t>4.5</w:t>
            </w:r>
            <w:r>
              <w:fldChar w:fldCharType="end"/>
            </w:r>
            <w:r>
              <w:t>.</w:t>
            </w:r>
          </w:p>
        </w:tc>
      </w:tr>
    </w:tbl>
    <w:p w:rsidR="00721B98" w:rsidRDefault="00721B98">
      <w:pPr>
        <w:spacing w:after="0"/>
        <w:rPr>
          <w:sz w:val="6"/>
        </w:rPr>
      </w:pPr>
    </w:p>
    <w:tbl>
      <w:tblPr>
        <w:tblW w:w="4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000" w:firstRow="0" w:lastRow="0" w:firstColumn="0" w:lastColumn="0" w:noHBand="0" w:noVBand="0"/>
      </w:tblPr>
      <w:tblGrid>
        <w:gridCol w:w="1619"/>
        <w:gridCol w:w="794"/>
        <w:gridCol w:w="794"/>
        <w:gridCol w:w="794"/>
        <w:gridCol w:w="794"/>
      </w:tblGrid>
      <w:tr w:rsidR="00721B98">
        <w:trPr>
          <w:cantSplit/>
          <w:jc w:val="center"/>
        </w:trPr>
        <w:tc>
          <w:tcPr>
            <w:tcW w:w="1688" w:type="pct"/>
            <w:tcBorders>
              <w:bottom w:val="double" w:sz="4" w:space="0" w:color="auto"/>
            </w:tcBorders>
          </w:tcPr>
          <w:p w:rsidR="00721B98" w:rsidRDefault="00721B98">
            <w:pPr>
              <w:keepNext/>
              <w:spacing w:before="40" w:after="40"/>
              <w:jc w:val="left"/>
            </w:pPr>
            <w:r>
              <w:t>Models</w:t>
            </w:r>
          </w:p>
        </w:tc>
        <w:tc>
          <w:tcPr>
            <w:tcW w:w="828" w:type="pct"/>
            <w:tcBorders>
              <w:bottom w:val="double" w:sz="4" w:space="0" w:color="auto"/>
            </w:tcBorders>
            <w:tcMar>
              <w:left w:w="0" w:type="dxa"/>
              <w:right w:w="0" w:type="dxa"/>
            </w:tcMar>
          </w:tcPr>
          <w:p w:rsidR="00721B98" w:rsidRDefault="00721B98">
            <w:pPr>
              <w:keepNext/>
              <w:spacing w:before="40" w:after="40"/>
              <w:jc w:val="center"/>
            </w:pPr>
            <w:r>
              <w:t>bunny</w:t>
            </w:r>
          </w:p>
        </w:tc>
        <w:tc>
          <w:tcPr>
            <w:tcW w:w="828" w:type="pct"/>
            <w:tcBorders>
              <w:bottom w:val="double" w:sz="4" w:space="0" w:color="auto"/>
            </w:tcBorders>
            <w:tcMar>
              <w:left w:w="0" w:type="dxa"/>
              <w:right w:w="0" w:type="dxa"/>
            </w:tcMar>
          </w:tcPr>
          <w:p w:rsidR="00721B98" w:rsidRDefault="00721B98">
            <w:pPr>
              <w:keepNext/>
              <w:spacing w:before="40" w:after="40"/>
              <w:jc w:val="center"/>
            </w:pPr>
            <w:r>
              <w:t>parasaur</w:t>
            </w:r>
          </w:p>
        </w:tc>
        <w:tc>
          <w:tcPr>
            <w:tcW w:w="828" w:type="pct"/>
            <w:tcBorders>
              <w:bottom w:val="double" w:sz="4" w:space="0" w:color="auto"/>
            </w:tcBorders>
            <w:tcMar>
              <w:left w:w="0" w:type="dxa"/>
              <w:right w:w="0" w:type="dxa"/>
            </w:tcMar>
          </w:tcPr>
          <w:p w:rsidR="00721B98" w:rsidRDefault="00721B98">
            <w:pPr>
              <w:keepNext/>
              <w:spacing w:before="40" w:after="40"/>
              <w:jc w:val="center"/>
            </w:pPr>
            <w:r>
              <w:t>horse</w:t>
            </w:r>
          </w:p>
        </w:tc>
        <w:tc>
          <w:tcPr>
            <w:tcW w:w="828" w:type="pct"/>
            <w:tcBorders>
              <w:bottom w:val="double" w:sz="4" w:space="0" w:color="auto"/>
            </w:tcBorders>
            <w:tcMar>
              <w:left w:w="0" w:type="dxa"/>
              <w:right w:w="0" w:type="dxa"/>
            </w:tcMar>
          </w:tcPr>
          <w:p w:rsidR="00721B98" w:rsidRDefault="00721B98">
            <w:pPr>
              <w:keepNext/>
              <w:spacing w:before="40" w:after="40"/>
              <w:jc w:val="center"/>
            </w:pPr>
            <w:r>
              <w:t>hand</w:t>
            </w:r>
          </w:p>
        </w:tc>
      </w:tr>
      <w:tr w:rsidR="00721B98">
        <w:trPr>
          <w:cantSplit/>
          <w:jc w:val="center"/>
        </w:trPr>
        <w:tc>
          <w:tcPr>
            <w:tcW w:w="1688" w:type="pct"/>
            <w:tcBorders>
              <w:top w:val="double" w:sz="4" w:space="0" w:color="auto"/>
              <w:bottom w:val="single" w:sz="4" w:space="0" w:color="auto"/>
            </w:tcBorders>
          </w:tcPr>
          <w:p w:rsidR="00721B98" w:rsidRDefault="00721B98" w:rsidP="00E87B47">
            <w:pPr>
              <w:keepNext/>
              <w:spacing w:before="20" w:after="20"/>
              <w:jc w:val="left"/>
            </w:pPr>
            <w:r>
              <w:t># faces in</w:t>
            </w:r>
            <w:r w:rsidR="00E87B47">
              <w:t xml:space="preserve"> </w:t>
            </w:r>
            <m:oMath>
              <m:sSup>
                <m:sSupPr>
                  <m:ctrlPr>
                    <w:rPr>
                      <w:rFonts w:ascii="Cambria Math" w:hAnsi="Cambria Math"/>
                      <w:i/>
                    </w:rPr>
                  </m:ctrlPr>
                </m:sSupPr>
                <m:e>
                  <m:r>
                    <w:rPr>
                      <w:rFonts w:ascii="Cambria Math" w:hAnsi="Cambria Math"/>
                    </w:rPr>
                    <m:t>M</m:t>
                  </m:r>
                </m:e>
                <m:sup>
                  <m:r>
                    <w:rPr>
                      <w:rFonts w:ascii="Cambria Math" w:hAnsi="Cambria Math"/>
                    </w:rPr>
                    <m:t>n</m:t>
                  </m:r>
                </m:sup>
              </m:sSup>
            </m:oMath>
          </w:p>
        </w:tc>
        <w:tc>
          <w:tcPr>
            <w:tcW w:w="828" w:type="pct"/>
            <w:tcBorders>
              <w:top w:val="double" w:sz="4" w:space="0" w:color="auto"/>
              <w:bottom w:val="single" w:sz="4" w:space="0" w:color="auto"/>
            </w:tcBorders>
          </w:tcPr>
          <w:p w:rsidR="00721B98" w:rsidRDefault="00721B98">
            <w:pPr>
              <w:keepNext/>
              <w:spacing w:before="20" w:after="20"/>
              <w:jc w:val="right"/>
            </w:pPr>
            <w:r>
              <w:t>69,630</w:t>
            </w:r>
          </w:p>
        </w:tc>
        <w:tc>
          <w:tcPr>
            <w:tcW w:w="828" w:type="pct"/>
            <w:tcBorders>
              <w:top w:val="double" w:sz="4" w:space="0" w:color="auto"/>
              <w:bottom w:val="single" w:sz="4" w:space="0" w:color="auto"/>
            </w:tcBorders>
          </w:tcPr>
          <w:p w:rsidR="00721B98" w:rsidRDefault="00721B98">
            <w:pPr>
              <w:keepNext/>
              <w:spacing w:before="20" w:after="20"/>
              <w:jc w:val="right"/>
            </w:pPr>
            <w:r>
              <w:t>43,866</w:t>
            </w:r>
          </w:p>
        </w:tc>
        <w:tc>
          <w:tcPr>
            <w:tcW w:w="828" w:type="pct"/>
            <w:tcBorders>
              <w:top w:val="double" w:sz="4" w:space="0" w:color="auto"/>
              <w:bottom w:val="single" w:sz="4" w:space="0" w:color="auto"/>
            </w:tcBorders>
          </w:tcPr>
          <w:p w:rsidR="00721B98" w:rsidRDefault="00721B98">
            <w:pPr>
              <w:keepNext/>
              <w:spacing w:before="20" w:after="20"/>
              <w:jc w:val="right"/>
            </w:pPr>
            <w:r>
              <w:t>96,956</w:t>
            </w:r>
          </w:p>
        </w:tc>
        <w:tc>
          <w:tcPr>
            <w:tcW w:w="828" w:type="pct"/>
            <w:tcBorders>
              <w:top w:val="double" w:sz="4" w:space="0" w:color="auto"/>
              <w:bottom w:val="single" w:sz="4" w:space="0" w:color="auto"/>
            </w:tcBorders>
          </w:tcPr>
          <w:p w:rsidR="00721B98" w:rsidRDefault="00721B98">
            <w:pPr>
              <w:keepNext/>
              <w:spacing w:before="20" w:after="20"/>
              <w:jc w:val="right"/>
            </w:pPr>
            <w:r>
              <w:t>60,856</w:t>
            </w:r>
          </w:p>
        </w:tc>
      </w:tr>
      <w:tr w:rsidR="00721B98">
        <w:trPr>
          <w:cantSplit/>
          <w:jc w:val="center"/>
        </w:trPr>
        <w:tc>
          <w:tcPr>
            <w:tcW w:w="1688" w:type="pct"/>
            <w:tcBorders>
              <w:bottom w:val="double" w:sz="4" w:space="0" w:color="auto"/>
            </w:tcBorders>
          </w:tcPr>
          <w:p w:rsidR="00721B98" w:rsidRDefault="00721B98" w:rsidP="00E87B47">
            <w:pPr>
              <w:pStyle w:val="Header"/>
              <w:keepNext/>
              <w:tabs>
                <w:tab w:val="clear" w:pos="4320"/>
                <w:tab w:val="clear" w:pos="8640"/>
              </w:tabs>
              <w:spacing w:before="20" w:after="20"/>
              <w:jc w:val="left"/>
            </w:pPr>
            <w:r>
              <w:t># vertices in</w:t>
            </w:r>
            <w:r w:rsidR="00E87B47">
              <w:t xml:space="preserve"> </w:t>
            </w:r>
            <m:oMath>
              <m:sSup>
                <m:sSupPr>
                  <m:ctrlPr>
                    <w:rPr>
                      <w:rFonts w:ascii="Cambria Math" w:hAnsi="Cambria Math"/>
                      <w:i/>
                    </w:rPr>
                  </m:ctrlPr>
                </m:sSupPr>
                <m:e>
                  <m:r>
                    <w:rPr>
                      <w:rFonts w:ascii="Cambria Math" w:hAnsi="Cambria Math"/>
                    </w:rPr>
                    <m:t>M</m:t>
                  </m:r>
                </m:e>
                <m:sup>
                  <m:r>
                    <w:rPr>
                      <w:rFonts w:ascii="Cambria Math" w:hAnsi="Cambria Math"/>
                    </w:rPr>
                    <m:t>n</m:t>
                  </m:r>
                </m:sup>
              </m:sSup>
            </m:oMath>
          </w:p>
        </w:tc>
        <w:tc>
          <w:tcPr>
            <w:tcW w:w="828" w:type="pct"/>
            <w:tcBorders>
              <w:bottom w:val="double" w:sz="4" w:space="0" w:color="auto"/>
            </w:tcBorders>
          </w:tcPr>
          <w:p w:rsidR="00721B98" w:rsidRDefault="00721B98">
            <w:pPr>
              <w:keepNext/>
              <w:spacing w:before="20" w:after="20"/>
              <w:jc w:val="right"/>
            </w:pPr>
            <w:r>
              <w:t>34,817</w:t>
            </w:r>
          </w:p>
        </w:tc>
        <w:tc>
          <w:tcPr>
            <w:tcW w:w="828" w:type="pct"/>
            <w:tcBorders>
              <w:bottom w:val="double" w:sz="4" w:space="0" w:color="auto"/>
            </w:tcBorders>
          </w:tcPr>
          <w:p w:rsidR="00721B98" w:rsidRDefault="00721B98">
            <w:pPr>
              <w:keepNext/>
              <w:spacing w:before="20" w:after="20"/>
              <w:jc w:val="right"/>
            </w:pPr>
            <w:r>
              <w:t>21,935</w:t>
            </w:r>
          </w:p>
        </w:tc>
        <w:tc>
          <w:tcPr>
            <w:tcW w:w="828" w:type="pct"/>
            <w:tcBorders>
              <w:bottom w:val="double" w:sz="4" w:space="0" w:color="auto"/>
            </w:tcBorders>
          </w:tcPr>
          <w:p w:rsidR="00721B98" w:rsidRDefault="00721B98">
            <w:pPr>
              <w:keepNext/>
              <w:spacing w:before="20" w:after="20"/>
              <w:jc w:val="right"/>
            </w:pPr>
            <w:r>
              <w:t>48,480</w:t>
            </w:r>
          </w:p>
        </w:tc>
        <w:tc>
          <w:tcPr>
            <w:tcW w:w="828" w:type="pct"/>
            <w:tcBorders>
              <w:bottom w:val="double" w:sz="4" w:space="0" w:color="auto"/>
            </w:tcBorders>
          </w:tcPr>
          <w:p w:rsidR="00721B98" w:rsidRDefault="00721B98">
            <w:pPr>
              <w:keepNext/>
              <w:spacing w:before="20" w:after="20"/>
              <w:jc w:val="right"/>
            </w:pPr>
            <w:r>
              <w:t>30,430</w:t>
            </w:r>
          </w:p>
        </w:tc>
      </w:tr>
      <w:tr w:rsidR="00721B98">
        <w:trPr>
          <w:cantSplit/>
          <w:jc w:val="center"/>
        </w:trPr>
        <w:tc>
          <w:tcPr>
            <w:tcW w:w="1688" w:type="pct"/>
            <w:tcBorders>
              <w:top w:val="double" w:sz="4" w:space="0" w:color="auto"/>
              <w:bottom w:val="single" w:sz="4" w:space="0" w:color="auto"/>
            </w:tcBorders>
          </w:tcPr>
          <w:p w:rsidR="00721B98" w:rsidRDefault="00721B98">
            <w:pPr>
              <w:keepNext/>
              <w:spacing w:before="20" w:after="20"/>
              <w:jc w:val="left"/>
            </w:pPr>
            <w:r>
              <w:t># charts</w:t>
            </w:r>
          </w:p>
        </w:tc>
        <w:tc>
          <w:tcPr>
            <w:tcW w:w="828" w:type="pct"/>
            <w:tcBorders>
              <w:top w:val="double" w:sz="4" w:space="0" w:color="auto"/>
              <w:bottom w:val="single" w:sz="4" w:space="0" w:color="auto"/>
            </w:tcBorders>
          </w:tcPr>
          <w:p w:rsidR="00721B98" w:rsidRDefault="00721B98">
            <w:pPr>
              <w:keepNext/>
              <w:spacing w:before="20" w:after="20"/>
              <w:jc w:val="right"/>
            </w:pPr>
            <w:r>
              <w:t>75</w:t>
            </w:r>
          </w:p>
        </w:tc>
        <w:tc>
          <w:tcPr>
            <w:tcW w:w="828" w:type="pct"/>
            <w:tcBorders>
              <w:top w:val="double" w:sz="4" w:space="0" w:color="auto"/>
              <w:bottom w:val="single" w:sz="4" w:space="0" w:color="auto"/>
            </w:tcBorders>
          </w:tcPr>
          <w:p w:rsidR="00721B98" w:rsidRDefault="00721B98">
            <w:pPr>
              <w:keepNext/>
              <w:spacing w:before="20" w:after="20"/>
              <w:jc w:val="right"/>
            </w:pPr>
            <w:r>
              <w:t>75</w:t>
            </w:r>
          </w:p>
        </w:tc>
        <w:tc>
          <w:tcPr>
            <w:tcW w:w="828" w:type="pct"/>
            <w:tcBorders>
              <w:top w:val="double" w:sz="4" w:space="0" w:color="auto"/>
              <w:bottom w:val="single" w:sz="4" w:space="0" w:color="auto"/>
            </w:tcBorders>
          </w:tcPr>
          <w:p w:rsidR="00721B98" w:rsidRDefault="00721B98">
            <w:pPr>
              <w:keepNext/>
              <w:spacing w:before="20" w:after="20"/>
              <w:jc w:val="right"/>
            </w:pPr>
            <w:r>
              <w:t>120</w:t>
            </w:r>
          </w:p>
        </w:tc>
        <w:tc>
          <w:tcPr>
            <w:tcW w:w="828" w:type="pct"/>
            <w:tcBorders>
              <w:top w:val="double" w:sz="4" w:space="0" w:color="auto"/>
              <w:bottom w:val="single" w:sz="4" w:space="0" w:color="auto"/>
            </w:tcBorders>
          </w:tcPr>
          <w:p w:rsidR="00721B98" w:rsidRDefault="00721B98">
            <w:pPr>
              <w:keepNext/>
              <w:spacing w:before="20" w:after="20"/>
              <w:jc w:val="right"/>
            </w:pPr>
            <w:r>
              <w:t>60</w:t>
            </w:r>
          </w:p>
        </w:tc>
      </w:tr>
      <w:tr w:rsidR="00721B98">
        <w:trPr>
          <w:cantSplit/>
          <w:jc w:val="center"/>
        </w:trPr>
        <w:tc>
          <w:tcPr>
            <w:tcW w:w="1688" w:type="pct"/>
            <w:tcBorders>
              <w:top w:val="single" w:sz="4" w:space="0" w:color="auto"/>
              <w:bottom w:val="single" w:sz="4" w:space="0" w:color="auto"/>
            </w:tcBorders>
          </w:tcPr>
          <w:p w:rsidR="00721B98" w:rsidRDefault="00721B98" w:rsidP="00E87B47">
            <w:pPr>
              <w:keepNext/>
              <w:spacing w:before="20" w:after="20"/>
              <w:jc w:val="left"/>
            </w:pPr>
            <w:r>
              <w:t># faces in</w:t>
            </w:r>
            <w:r w:rsidR="00E87B47">
              <w:t xml:space="preserve"> </w:t>
            </w:r>
            <m:oMath>
              <m:sSup>
                <m:sSupPr>
                  <m:ctrlPr>
                    <w:rPr>
                      <w:rFonts w:ascii="Cambria Math" w:hAnsi="Cambria Math"/>
                      <w:i/>
                    </w:rPr>
                  </m:ctrlPr>
                </m:sSupPr>
                <m:e>
                  <m:r>
                    <w:rPr>
                      <w:rFonts w:ascii="Cambria Math" w:hAnsi="Cambria Math"/>
                    </w:rPr>
                    <m:t>M</m:t>
                  </m:r>
                </m:e>
                <m:sup>
                  <m:r>
                    <w:rPr>
                      <w:rFonts w:ascii="Cambria Math" w:hAnsi="Cambria Math"/>
                    </w:rPr>
                    <m:t>0</m:t>
                  </m:r>
                </m:sup>
              </m:sSup>
            </m:oMath>
          </w:p>
        </w:tc>
        <w:tc>
          <w:tcPr>
            <w:tcW w:w="828" w:type="pct"/>
            <w:tcBorders>
              <w:top w:val="single" w:sz="4" w:space="0" w:color="auto"/>
              <w:bottom w:val="single" w:sz="4" w:space="0" w:color="auto"/>
            </w:tcBorders>
          </w:tcPr>
          <w:p w:rsidR="00721B98" w:rsidRDefault="00721B98">
            <w:pPr>
              <w:keepNext/>
              <w:spacing w:before="20" w:after="20"/>
              <w:jc w:val="right"/>
            </w:pPr>
            <w:r>
              <w:t>288</w:t>
            </w:r>
          </w:p>
        </w:tc>
        <w:tc>
          <w:tcPr>
            <w:tcW w:w="828" w:type="pct"/>
            <w:tcBorders>
              <w:top w:val="single" w:sz="4" w:space="0" w:color="auto"/>
              <w:bottom w:val="single" w:sz="4" w:space="0" w:color="auto"/>
            </w:tcBorders>
          </w:tcPr>
          <w:p w:rsidR="00721B98" w:rsidRDefault="00721B98">
            <w:pPr>
              <w:keepNext/>
              <w:spacing w:before="20" w:after="20"/>
              <w:jc w:val="right"/>
            </w:pPr>
            <w:r>
              <w:t>298</w:t>
            </w:r>
          </w:p>
        </w:tc>
        <w:tc>
          <w:tcPr>
            <w:tcW w:w="828" w:type="pct"/>
            <w:tcBorders>
              <w:top w:val="single" w:sz="4" w:space="0" w:color="auto"/>
              <w:bottom w:val="single" w:sz="4" w:space="0" w:color="auto"/>
            </w:tcBorders>
          </w:tcPr>
          <w:p w:rsidR="00721B98" w:rsidRDefault="00721B98">
            <w:pPr>
              <w:keepNext/>
              <w:spacing w:before="20" w:after="20"/>
              <w:jc w:val="right"/>
            </w:pPr>
            <w:r>
              <w:t>470</w:t>
            </w:r>
          </w:p>
        </w:tc>
        <w:tc>
          <w:tcPr>
            <w:tcW w:w="828" w:type="pct"/>
            <w:tcBorders>
              <w:top w:val="single" w:sz="4" w:space="0" w:color="auto"/>
              <w:bottom w:val="single" w:sz="4" w:space="0" w:color="auto"/>
            </w:tcBorders>
          </w:tcPr>
          <w:p w:rsidR="00721B98" w:rsidRDefault="00721B98">
            <w:pPr>
              <w:keepNext/>
              <w:spacing w:before="20" w:after="20"/>
              <w:jc w:val="right"/>
            </w:pPr>
            <w:r>
              <w:t>230</w:t>
            </w:r>
          </w:p>
        </w:tc>
      </w:tr>
      <w:tr w:rsidR="00721B98">
        <w:trPr>
          <w:cantSplit/>
          <w:jc w:val="center"/>
        </w:trPr>
        <w:tc>
          <w:tcPr>
            <w:tcW w:w="1688" w:type="pct"/>
            <w:tcBorders>
              <w:bottom w:val="double" w:sz="4" w:space="0" w:color="auto"/>
            </w:tcBorders>
          </w:tcPr>
          <w:p w:rsidR="00721B98" w:rsidRDefault="00721B98" w:rsidP="00E87B47">
            <w:pPr>
              <w:keepNext/>
              <w:spacing w:before="20" w:after="20"/>
              <w:jc w:val="left"/>
            </w:pPr>
            <w:r>
              <w:t># vertices in</w:t>
            </w:r>
            <w:r w:rsidR="00E87B47">
              <w:t xml:space="preserve"> </w:t>
            </w:r>
            <m:oMath>
              <m:sSup>
                <m:sSupPr>
                  <m:ctrlPr>
                    <w:rPr>
                      <w:rFonts w:ascii="Cambria Math" w:hAnsi="Cambria Math"/>
                      <w:i/>
                    </w:rPr>
                  </m:ctrlPr>
                </m:sSupPr>
                <m:e>
                  <m:r>
                    <w:rPr>
                      <w:rFonts w:ascii="Cambria Math" w:hAnsi="Cambria Math"/>
                    </w:rPr>
                    <m:t>M</m:t>
                  </m:r>
                </m:e>
                <m:sup>
                  <m:r>
                    <w:rPr>
                      <w:rFonts w:ascii="Cambria Math" w:hAnsi="Cambria Math"/>
                    </w:rPr>
                    <m:t>0</m:t>
                  </m:r>
                </m:sup>
              </m:sSup>
            </m:oMath>
          </w:p>
        </w:tc>
        <w:tc>
          <w:tcPr>
            <w:tcW w:w="828" w:type="pct"/>
            <w:tcBorders>
              <w:bottom w:val="double" w:sz="4" w:space="0" w:color="auto"/>
            </w:tcBorders>
          </w:tcPr>
          <w:p w:rsidR="00721B98" w:rsidRDefault="00721B98">
            <w:pPr>
              <w:keepNext/>
              <w:spacing w:before="20" w:after="20"/>
              <w:jc w:val="right"/>
            </w:pPr>
            <w:r>
              <w:t>146</w:t>
            </w:r>
          </w:p>
        </w:tc>
        <w:tc>
          <w:tcPr>
            <w:tcW w:w="828" w:type="pct"/>
            <w:tcBorders>
              <w:bottom w:val="double" w:sz="4" w:space="0" w:color="auto"/>
            </w:tcBorders>
          </w:tcPr>
          <w:p w:rsidR="00721B98" w:rsidRDefault="00721B98">
            <w:pPr>
              <w:keepNext/>
              <w:spacing w:before="20" w:after="20"/>
              <w:jc w:val="right"/>
            </w:pPr>
            <w:r>
              <w:t>151</w:t>
            </w:r>
          </w:p>
        </w:tc>
        <w:tc>
          <w:tcPr>
            <w:tcW w:w="828" w:type="pct"/>
            <w:tcBorders>
              <w:bottom w:val="double" w:sz="4" w:space="0" w:color="auto"/>
            </w:tcBorders>
          </w:tcPr>
          <w:p w:rsidR="00721B98" w:rsidRDefault="00721B98">
            <w:pPr>
              <w:keepNext/>
              <w:spacing w:before="20" w:after="20"/>
              <w:jc w:val="right"/>
            </w:pPr>
            <w:r>
              <w:t>237</w:t>
            </w:r>
          </w:p>
        </w:tc>
        <w:tc>
          <w:tcPr>
            <w:tcW w:w="828" w:type="pct"/>
            <w:tcBorders>
              <w:bottom w:val="double" w:sz="4" w:space="0" w:color="auto"/>
            </w:tcBorders>
          </w:tcPr>
          <w:p w:rsidR="00721B98" w:rsidRDefault="00721B98">
            <w:pPr>
              <w:keepNext/>
              <w:spacing w:before="20" w:after="20"/>
              <w:jc w:val="right"/>
            </w:pPr>
            <w:r>
              <w:t>117</w:t>
            </w:r>
          </w:p>
        </w:tc>
      </w:tr>
      <w:tr w:rsidR="00721B98">
        <w:trPr>
          <w:cantSplit/>
          <w:jc w:val="center"/>
        </w:trPr>
        <w:tc>
          <w:tcPr>
            <w:tcW w:w="1688" w:type="pct"/>
            <w:tcBorders>
              <w:top w:val="nil"/>
              <w:bottom w:val="single" w:sz="4" w:space="0" w:color="auto"/>
            </w:tcBorders>
            <w:tcMar>
              <w:right w:w="0" w:type="dxa"/>
            </w:tcMar>
          </w:tcPr>
          <w:p w:rsidR="00721B98" w:rsidRDefault="00721B98">
            <w:pPr>
              <w:keepNext/>
              <w:spacing w:before="20" w:after="20" w:line="140" w:lineRule="exact"/>
              <w:jc w:val="left"/>
              <w:rPr>
                <w:sz w:val="14"/>
                <w:szCs w:val="14"/>
              </w:rPr>
            </w:pPr>
            <w:r>
              <w:rPr>
                <w:sz w:val="14"/>
                <w:szCs w:val="14"/>
              </w:rPr>
              <w:t>(stretch efficiency with</w:t>
            </w:r>
            <w:r>
              <w:rPr>
                <w:sz w:val="14"/>
                <w:szCs w:val="14"/>
              </w:rPr>
              <w:br/>
              <w:t xml:space="preserve"> uniform parametrization)</w:t>
            </w:r>
          </w:p>
        </w:tc>
        <w:tc>
          <w:tcPr>
            <w:tcW w:w="828" w:type="pct"/>
            <w:tcBorders>
              <w:top w:val="nil"/>
              <w:bottom w:val="single" w:sz="4" w:space="0" w:color="auto"/>
            </w:tcBorders>
            <w:vAlign w:val="center"/>
          </w:tcPr>
          <w:p w:rsidR="00721B98" w:rsidRPr="00E41256" w:rsidRDefault="00721B98" w:rsidP="00E41256">
            <w:pPr>
              <w:keepNext/>
              <w:spacing w:before="20" w:after="20" w:line="140" w:lineRule="exact"/>
              <w:jc w:val="right"/>
              <w:rPr>
                <w:sz w:val="14"/>
                <w:szCs w:val="14"/>
                <w:highlight w:val="yellow"/>
              </w:rPr>
            </w:pPr>
            <w:r w:rsidRPr="00E41256">
              <w:rPr>
                <w:sz w:val="14"/>
                <w:szCs w:val="14"/>
                <w:highlight w:val="yellow"/>
              </w:rPr>
              <w:t>0.</w:t>
            </w:r>
            <w:r w:rsidR="00E41256" w:rsidRPr="00E41256">
              <w:rPr>
                <w:sz w:val="14"/>
                <w:szCs w:val="14"/>
                <w:highlight w:val="yellow"/>
              </w:rPr>
              <w:t>63</w:t>
            </w:r>
          </w:p>
        </w:tc>
        <w:tc>
          <w:tcPr>
            <w:tcW w:w="828" w:type="pct"/>
            <w:tcBorders>
              <w:top w:val="nil"/>
              <w:bottom w:val="single" w:sz="4" w:space="0" w:color="auto"/>
            </w:tcBorders>
            <w:vAlign w:val="center"/>
          </w:tcPr>
          <w:p w:rsidR="00721B98" w:rsidRPr="00E41256" w:rsidRDefault="00721B98" w:rsidP="00E41256">
            <w:pPr>
              <w:keepNext/>
              <w:spacing w:before="20" w:after="20" w:line="140" w:lineRule="exact"/>
              <w:jc w:val="right"/>
              <w:rPr>
                <w:sz w:val="14"/>
                <w:szCs w:val="14"/>
                <w:highlight w:val="yellow"/>
              </w:rPr>
            </w:pPr>
            <w:r w:rsidRPr="00E41256">
              <w:rPr>
                <w:sz w:val="14"/>
                <w:szCs w:val="14"/>
                <w:highlight w:val="yellow"/>
              </w:rPr>
              <w:t>0.00</w:t>
            </w:r>
            <w:r w:rsidR="00E41256" w:rsidRPr="00E41256">
              <w:rPr>
                <w:sz w:val="14"/>
                <w:szCs w:val="14"/>
                <w:highlight w:val="yellow"/>
              </w:rPr>
              <w:t>3</w:t>
            </w:r>
          </w:p>
        </w:tc>
        <w:tc>
          <w:tcPr>
            <w:tcW w:w="828" w:type="pct"/>
            <w:tcBorders>
              <w:top w:val="nil"/>
              <w:bottom w:val="single" w:sz="4" w:space="0" w:color="auto"/>
            </w:tcBorders>
            <w:vAlign w:val="center"/>
          </w:tcPr>
          <w:p w:rsidR="00721B98" w:rsidRPr="00E41256" w:rsidRDefault="00721B98" w:rsidP="00E41256">
            <w:pPr>
              <w:keepNext/>
              <w:spacing w:before="20" w:after="20" w:line="140" w:lineRule="exact"/>
              <w:jc w:val="right"/>
              <w:rPr>
                <w:sz w:val="14"/>
                <w:szCs w:val="14"/>
                <w:highlight w:val="yellow"/>
              </w:rPr>
            </w:pPr>
            <w:r w:rsidRPr="00E41256">
              <w:rPr>
                <w:sz w:val="14"/>
                <w:szCs w:val="14"/>
                <w:highlight w:val="yellow"/>
              </w:rPr>
              <w:t>0.</w:t>
            </w:r>
            <w:r w:rsidR="00E41256" w:rsidRPr="00E41256">
              <w:rPr>
                <w:sz w:val="14"/>
                <w:szCs w:val="14"/>
                <w:highlight w:val="yellow"/>
              </w:rPr>
              <w:t>61</w:t>
            </w:r>
          </w:p>
        </w:tc>
        <w:tc>
          <w:tcPr>
            <w:tcW w:w="828" w:type="pct"/>
            <w:tcBorders>
              <w:top w:val="nil"/>
              <w:bottom w:val="single" w:sz="4" w:space="0" w:color="auto"/>
            </w:tcBorders>
            <w:vAlign w:val="center"/>
          </w:tcPr>
          <w:p w:rsidR="00721B98" w:rsidRPr="00E41256" w:rsidRDefault="00721B98" w:rsidP="00E41256">
            <w:pPr>
              <w:keepNext/>
              <w:spacing w:before="20" w:after="20" w:line="140" w:lineRule="exact"/>
              <w:jc w:val="right"/>
              <w:rPr>
                <w:sz w:val="14"/>
                <w:szCs w:val="14"/>
                <w:highlight w:val="yellow"/>
              </w:rPr>
            </w:pPr>
            <w:r w:rsidRPr="00E41256">
              <w:rPr>
                <w:sz w:val="14"/>
                <w:szCs w:val="14"/>
                <w:highlight w:val="yellow"/>
              </w:rPr>
              <w:t>0.</w:t>
            </w:r>
            <w:r w:rsidR="00E41256" w:rsidRPr="00E41256">
              <w:rPr>
                <w:sz w:val="14"/>
                <w:szCs w:val="14"/>
                <w:highlight w:val="yellow"/>
              </w:rPr>
              <w:t>11</w:t>
            </w:r>
          </w:p>
        </w:tc>
      </w:tr>
      <w:tr w:rsidR="00721B98">
        <w:trPr>
          <w:cantSplit/>
          <w:jc w:val="center"/>
        </w:trPr>
        <w:tc>
          <w:tcPr>
            <w:tcW w:w="1688" w:type="pct"/>
            <w:tcBorders>
              <w:top w:val="double" w:sz="4" w:space="0" w:color="auto"/>
              <w:bottom w:val="nil"/>
            </w:tcBorders>
          </w:tcPr>
          <w:p w:rsidR="00721B98" w:rsidRDefault="00721B98">
            <w:pPr>
              <w:keepNext/>
              <w:spacing w:before="20" w:after="20"/>
              <w:jc w:val="left"/>
            </w:pPr>
            <w:r>
              <w:t xml:space="preserve"> stretch efficiency</w:t>
            </w:r>
          </w:p>
        </w:tc>
        <w:tc>
          <w:tcPr>
            <w:tcW w:w="828" w:type="pct"/>
            <w:tcBorders>
              <w:top w:val="double" w:sz="4" w:space="0" w:color="auto"/>
              <w:bottom w:val="nil"/>
            </w:tcBorders>
          </w:tcPr>
          <w:p w:rsidR="00721B98" w:rsidRPr="00E41256" w:rsidRDefault="00721B98" w:rsidP="00E41256">
            <w:pPr>
              <w:keepNext/>
              <w:spacing w:before="20" w:after="20"/>
              <w:jc w:val="right"/>
              <w:rPr>
                <w:highlight w:val="yellow"/>
              </w:rPr>
            </w:pPr>
            <w:r w:rsidRPr="00E41256">
              <w:rPr>
                <w:highlight w:val="yellow"/>
              </w:rPr>
              <w:t>0.</w:t>
            </w:r>
            <w:r w:rsidR="00E41256" w:rsidRPr="00E41256">
              <w:rPr>
                <w:highlight w:val="yellow"/>
              </w:rPr>
              <w:t>84</w:t>
            </w:r>
          </w:p>
        </w:tc>
        <w:tc>
          <w:tcPr>
            <w:tcW w:w="828" w:type="pct"/>
            <w:tcBorders>
              <w:top w:val="double" w:sz="4" w:space="0" w:color="auto"/>
              <w:bottom w:val="nil"/>
            </w:tcBorders>
          </w:tcPr>
          <w:p w:rsidR="00721B98" w:rsidRPr="00E41256" w:rsidRDefault="00721B98" w:rsidP="00E41256">
            <w:pPr>
              <w:keepNext/>
              <w:spacing w:before="20" w:after="20"/>
              <w:jc w:val="right"/>
              <w:rPr>
                <w:highlight w:val="yellow"/>
              </w:rPr>
            </w:pPr>
            <w:r w:rsidRPr="00E41256">
              <w:rPr>
                <w:highlight w:val="yellow"/>
              </w:rPr>
              <w:t>0.</w:t>
            </w:r>
            <w:r w:rsidR="00E41256" w:rsidRPr="00E41256">
              <w:rPr>
                <w:highlight w:val="yellow"/>
              </w:rPr>
              <w:t>63</w:t>
            </w:r>
          </w:p>
        </w:tc>
        <w:tc>
          <w:tcPr>
            <w:tcW w:w="828" w:type="pct"/>
            <w:tcBorders>
              <w:top w:val="double" w:sz="4" w:space="0" w:color="auto"/>
              <w:bottom w:val="nil"/>
            </w:tcBorders>
          </w:tcPr>
          <w:p w:rsidR="00721B98" w:rsidRPr="00E41256" w:rsidRDefault="00721B98" w:rsidP="00E41256">
            <w:pPr>
              <w:keepNext/>
              <w:spacing w:before="20" w:after="20"/>
              <w:jc w:val="right"/>
              <w:rPr>
                <w:highlight w:val="yellow"/>
              </w:rPr>
            </w:pPr>
            <w:r w:rsidRPr="00E41256">
              <w:rPr>
                <w:highlight w:val="yellow"/>
              </w:rPr>
              <w:t>0.</w:t>
            </w:r>
            <w:r w:rsidR="00E41256" w:rsidRPr="00E41256">
              <w:rPr>
                <w:highlight w:val="yellow"/>
              </w:rPr>
              <w:t>80</w:t>
            </w:r>
          </w:p>
        </w:tc>
        <w:tc>
          <w:tcPr>
            <w:tcW w:w="828" w:type="pct"/>
            <w:tcBorders>
              <w:top w:val="double" w:sz="4" w:space="0" w:color="auto"/>
              <w:bottom w:val="nil"/>
            </w:tcBorders>
          </w:tcPr>
          <w:p w:rsidR="00721B98" w:rsidRPr="00E41256" w:rsidRDefault="00721B98" w:rsidP="00E41256">
            <w:pPr>
              <w:keepNext/>
              <w:spacing w:before="20" w:after="20"/>
              <w:jc w:val="right"/>
              <w:rPr>
                <w:highlight w:val="yellow"/>
              </w:rPr>
            </w:pPr>
            <w:r w:rsidRPr="00E41256">
              <w:rPr>
                <w:highlight w:val="yellow"/>
              </w:rPr>
              <w:t>0.</w:t>
            </w:r>
            <w:r w:rsidR="00E41256" w:rsidRPr="00E41256">
              <w:rPr>
                <w:highlight w:val="yellow"/>
              </w:rPr>
              <w:t>68</w:t>
            </w:r>
          </w:p>
        </w:tc>
      </w:tr>
      <w:tr w:rsidR="00721B98">
        <w:trPr>
          <w:cantSplit/>
          <w:jc w:val="center"/>
        </w:trPr>
        <w:tc>
          <w:tcPr>
            <w:tcW w:w="1688" w:type="pct"/>
            <w:tcBorders>
              <w:top w:val="single" w:sz="4" w:space="0" w:color="auto"/>
              <w:bottom w:val="nil"/>
            </w:tcBorders>
            <w:tcMar>
              <w:right w:w="0" w:type="dxa"/>
            </w:tcMar>
          </w:tcPr>
          <w:p w:rsidR="00721B98" w:rsidRDefault="00721B98">
            <w:pPr>
              <w:keepNext/>
              <w:spacing w:before="40" w:after="0"/>
              <w:jc w:val="left"/>
              <w:rPr>
                <w:sz w:val="14"/>
                <w:szCs w:val="14"/>
              </w:rPr>
            </w:pPr>
            <w:r>
              <w:rPr>
                <w:sz w:val="14"/>
                <w:szCs w:val="14"/>
              </w:rPr>
              <w:t xml:space="preserve">   intra-rectangle efficiency</w:t>
            </w:r>
          </w:p>
        </w:tc>
        <w:tc>
          <w:tcPr>
            <w:tcW w:w="828" w:type="pct"/>
            <w:tcBorders>
              <w:top w:val="single" w:sz="4" w:space="0" w:color="auto"/>
              <w:bottom w:val="nil"/>
            </w:tcBorders>
          </w:tcPr>
          <w:p w:rsidR="00721B98" w:rsidRDefault="00721B98">
            <w:pPr>
              <w:keepNext/>
              <w:spacing w:before="40" w:after="0"/>
              <w:jc w:val="right"/>
              <w:rPr>
                <w:sz w:val="14"/>
                <w:szCs w:val="14"/>
              </w:rPr>
            </w:pPr>
            <w:r>
              <w:rPr>
                <w:sz w:val="14"/>
                <w:szCs w:val="14"/>
              </w:rPr>
              <w:t>0.77</w:t>
            </w:r>
          </w:p>
        </w:tc>
        <w:tc>
          <w:tcPr>
            <w:tcW w:w="828" w:type="pct"/>
            <w:tcBorders>
              <w:top w:val="single" w:sz="4" w:space="0" w:color="auto"/>
              <w:bottom w:val="nil"/>
            </w:tcBorders>
          </w:tcPr>
          <w:p w:rsidR="00721B98" w:rsidRDefault="00721B98">
            <w:pPr>
              <w:keepNext/>
              <w:spacing w:before="40" w:after="0"/>
              <w:jc w:val="right"/>
              <w:rPr>
                <w:sz w:val="14"/>
                <w:szCs w:val="14"/>
              </w:rPr>
            </w:pPr>
            <w:r>
              <w:rPr>
                <w:sz w:val="14"/>
                <w:szCs w:val="14"/>
              </w:rPr>
              <w:t>0.71</w:t>
            </w:r>
          </w:p>
        </w:tc>
        <w:tc>
          <w:tcPr>
            <w:tcW w:w="828" w:type="pct"/>
            <w:tcBorders>
              <w:top w:val="single" w:sz="4" w:space="0" w:color="auto"/>
              <w:bottom w:val="nil"/>
            </w:tcBorders>
          </w:tcPr>
          <w:p w:rsidR="00721B98" w:rsidRDefault="00721B98">
            <w:pPr>
              <w:keepNext/>
              <w:spacing w:before="40" w:after="0"/>
              <w:jc w:val="right"/>
              <w:rPr>
                <w:sz w:val="14"/>
                <w:szCs w:val="14"/>
              </w:rPr>
            </w:pPr>
            <w:r>
              <w:rPr>
                <w:sz w:val="14"/>
                <w:szCs w:val="14"/>
              </w:rPr>
              <w:t>0.77</w:t>
            </w:r>
          </w:p>
        </w:tc>
        <w:tc>
          <w:tcPr>
            <w:tcW w:w="828" w:type="pct"/>
            <w:tcBorders>
              <w:top w:val="single" w:sz="4" w:space="0" w:color="auto"/>
              <w:bottom w:val="nil"/>
            </w:tcBorders>
          </w:tcPr>
          <w:p w:rsidR="00721B98" w:rsidRDefault="00721B98">
            <w:pPr>
              <w:keepNext/>
              <w:spacing w:before="40" w:after="0"/>
              <w:jc w:val="right"/>
              <w:rPr>
                <w:sz w:val="14"/>
                <w:szCs w:val="14"/>
              </w:rPr>
            </w:pPr>
            <w:r>
              <w:rPr>
                <w:sz w:val="14"/>
                <w:szCs w:val="14"/>
              </w:rPr>
              <w:t>0.76</w:t>
            </w:r>
          </w:p>
        </w:tc>
      </w:tr>
      <w:tr w:rsidR="00721B98">
        <w:trPr>
          <w:cantSplit/>
          <w:jc w:val="center"/>
        </w:trPr>
        <w:tc>
          <w:tcPr>
            <w:tcW w:w="1688" w:type="pct"/>
            <w:tcBorders>
              <w:top w:val="nil"/>
              <w:bottom w:val="nil"/>
            </w:tcBorders>
            <w:tcMar>
              <w:right w:w="0" w:type="dxa"/>
            </w:tcMar>
          </w:tcPr>
          <w:p w:rsidR="00721B98" w:rsidRDefault="00721B98">
            <w:pPr>
              <w:keepNext/>
              <w:spacing w:after="0"/>
              <w:jc w:val="left"/>
              <w:rPr>
                <w:sz w:val="14"/>
                <w:szCs w:val="14"/>
              </w:rPr>
            </w:pPr>
            <w:r>
              <w:rPr>
                <w:sz w:val="14"/>
                <w:szCs w:val="14"/>
              </w:rPr>
              <w:t xml:space="preserve">   rectangle-packing effic.</w:t>
            </w:r>
          </w:p>
        </w:tc>
        <w:tc>
          <w:tcPr>
            <w:tcW w:w="828" w:type="pct"/>
            <w:tcBorders>
              <w:top w:val="nil"/>
              <w:bottom w:val="nil"/>
            </w:tcBorders>
          </w:tcPr>
          <w:p w:rsidR="00721B98" w:rsidRDefault="00721B98">
            <w:pPr>
              <w:keepNext/>
              <w:spacing w:after="0"/>
              <w:jc w:val="right"/>
              <w:rPr>
                <w:sz w:val="14"/>
                <w:szCs w:val="14"/>
              </w:rPr>
            </w:pPr>
            <w:r>
              <w:rPr>
                <w:sz w:val="14"/>
                <w:szCs w:val="14"/>
              </w:rPr>
              <w:t>0.87</w:t>
            </w:r>
          </w:p>
        </w:tc>
        <w:tc>
          <w:tcPr>
            <w:tcW w:w="828" w:type="pct"/>
            <w:tcBorders>
              <w:top w:val="nil"/>
              <w:bottom w:val="nil"/>
            </w:tcBorders>
          </w:tcPr>
          <w:p w:rsidR="00721B98" w:rsidRDefault="00721B98">
            <w:pPr>
              <w:keepNext/>
              <w:spacing w:after="0"/>
              <w:jc w:val="right"/>
              <w:rPr>
                <w:sz w:val="14"/>
                <w:szCs w:val="14"/>
              </w:rPr>
            </w:pPr>
            <w:r>
              <w:rPr>
                <w:sz w:val="14"/>
                <w:szCs w:val="14"/>
              </w:rPr>
              <w:t>0.89</w:t>
            </w:r>
          </w:p>
        </w:tc>
        <w:tc>
          <w:tcPr>
            <w:tcW w:w="828" w:type="pct"/>
            <w:tcBorders>
              <w:top w:val="nil"/>
              <w:bottom w:val="nil"/>
            </w:tcBorders>
          </w:tcPr>
          <w:p w:rsidR="00721B98" w:rsidRDefault="00721B98">
            <w:pPr>
              <w:keepNext/>
              <w:spacing w:after="0"/>
              <w:jc w:val="right"/>
              <w:rPr>
                <w:sz w:val="14"/>
                <w:szCs w:val="14"/>
              </w:rPr>
            </w:pPr>
            <w:r>
              <w:rPr>
                <w:sz w:val="14"/>
                <w:szCs w:val="14"/>
              </w:rPr>
              <w:t>0.91</w:t>
            </w:r>
          </w:p>
        </w:tc>
        <w:tc>
          <w:tcPr>
            <w:tcW w:w="828" w:type="pct"/>
            <w:tcBorders>
              <w:top w:val="nil"/>
              <w:bottom w:val="nil"/>
            </w:tcBorders>
          </w:tcPr>
          <w:p w:rsidR="00721B98" w:rsidRDefault="00721B98">
            <w:pPr>
              <w:keepNext/>
              <w:spacing w:after="0"/>
              <w:jc w:val="right"/>
              <w:rPr>
                <w:sz w:val="14"/>
                <w:szCs w:val="14"/>
              </w:rPr>
            </w:pPr>
            <w:r>
              <w:rPr>
                <w:sz w:val="14"/>
                <w:szCs w:val="14"/>
              </w:rPr>
              <w:t>0.82</w:t>
            </w:r>
          </w:p>
        </w:tc>
      </w:tr>
      <w:tr w:rsidR="00721B98">
        <w:trPr>
          <w:cantSplit/>
          <w:jc w:val="center"/>
        </w:trPr>
        <w:tc>
          <w:tcPr>
            <w:tcW w:w="1688" w:type="pct"/>
            <w:tcBorders>
              <w:top w:val="nil"/>
            </w:tcBorders>
          </w:tcPr>
          <w:p w:rsidR="00721B98" w:rsidRDefault="00721B98">
            <w:pPr>
              <w:keepNext/>
              <w:spacing w:after="20"/>
              <w:jc w:val="left"/>
            </w:pPr>
            <w:r>
              <w:t xml:space="preserve"> packing efficiency</w:t>
            </w:r>
          </w:p>
        </w:tc>
        <w:tc>
          <w:tcPr>
            <w:tcW w:w="828" w:type="pct"/>
            <w:tcBorders>
              <w:top w:val="nil"/>
            </w:tcBorders>
          </w:tcPr>
          <w:p w:rsidR="00721B98" w:rsidRDefault="00721B98">
            <w:pPr>
              <w:keepNext/>
              <w:spacing w:after="20"/>
              <w:jc w:val="right"/>
            </w:pPr>
            <w:r>
              <w:t>0.67</w:t>
            </w:r>
          </w:p>
        </w:tc>
        <w:tc>
          <w:tcPr>
            <w:tcW w:w="828" w:type="pct"/>
            <w:tcBorders>
              <w:top w:val="nil"/>
            </w:tcBorders>
          </w:tcPr>
          <w:p w:rsidR="00721B98" w:rsidRDefault="00721B98">
            <w:pPr>
              <w:keepNext/>
              <w:spacing w:after="20"/>
              <w:jc w:val="right"/>
            </w:pPr>
            <w:r>
              <w:t>0.63</w:t>
            </w:r>
          </w:p>
        </w:tc>
        <w:tc>
          <w:tcPr>
            <w:tcW w:w="828" w:type="pct"/>
            <w:tcBorders>
              <w:top w:val="nil"/>
            </w:tcBorders>
          </w:tcPr>
          <w:p w:rsidR="00721B98" w:rsidRDefault="00721B98">
            <w:pPr>
              <w:keepNext/>
              <w:spacing w:after="20"/>
              <w:jc w:val="right"/>
            </w:pPr>
            <w:r>
              <w:t>0.70</w:t>
            </w:r>
          </w:p>
        </w:tc>
        <w:tc>
          <w:tcPr>
            <w:tcW w:w="828" w:type="pct"/>
            <w:tcBorders>
              <w:top w:val="nil"/>
            </w:tcBorders>
          </w:tcPr>
          <w:p w:rsidR="00721B98" w:rsidRDefault="00721B98">
            <w:pPr>
              <w:keepNext/>
              <w:spacing w:after="20"/>
              <w:jc w:val="right"/>
            </w:pPr>
            <w:r>
              <w:t>0.62</w:t>
            </w:r>
          </w:p>
        </w:tc>
      </w:tr>
      <w:tr w:rsidR="00721B98">
        <w:trPr>
          <w:cantSplit/>
          <w:jc w:val="center"/>
        </w:trPr>
        <w:tc>
          <w:tcPr>
            <w:tcW w:w="1688" w:type="pct"/>
            <w:tcBorders>
              <w:bottom w:val="single" w:sz="4" w:space="0" w:color="auto"/>
            </w:tcBorders>
          </w:tcPr>
          <w:p w:rsidR="00721B98" w:rsidRDefault="00721B98">
            <w:pPr>
              <w:keepNext/>
              <w:spacing w:before="20" w:after="20"/>
              <w:jc w:val="left"/>
            </w:pPr>
            <w:r>
              <w:t>texture efficiency</w:t>
            </w:r>
          </w:p>
        </w:tc>
        <w:tc>
          <w:tcPr>
            <w:tcW w:w="828" w:type="pct"/>
            <w:tcBorders>
              <w:bottom w:val="single" w:sz="4" w:space="0" w:color="auto"/>
            </w:tcBorders>
          </w:tcPr>
          <w:p w:rsidR="00721B98" w:rsidRPr="00E41256" w:rsidRDefault="00721B98" w:rsidP="00E41256">
            <w:pPr>
              <w:keepNext/>
              <w:spacing w:before="20" w:after="20"/>
              <w:jc w:val="right"/>
              <w:rPr>
                <w:highlight w:val="yellow"/>
              </w:rPr>
            </w:pPr>
            <w:r w:rsidRPr="00E41256">
              <w:rPr>
                <w:highlight w:val="yellow"/>
              </w:rPr>
              <w:t>0.</w:t>
            </w:r>
            <w:r w:rsidR="00E41256" w:rsidRPr="00E41256">
              <w:rPr>
                <w:highlight w:val="yellow"/>
              </w:rPr>
              <w:t>56</w:t>
            </w:r>
          </w:p>
        </w:tc>
        <w:tc>
          <w:tcPr>
            <w:tcW w:w="828" w:type="pct"/>
            <w:tcBorders>
              <w:bottom w:val="single" w:sz="4" w:space="0" w:color="auto"/>
            </w:tcBorders>
          </w:tcPr>
          <w:p w:rsidR="00721B98" w:rsidRPr="00E41256" w:rsidRDefault="00721B98" w:rsidP="00E41256">
            <w:pPr>
              <w:keepNext/>
              <w:spacing w:before="20" w:after="20"/>
              <w:jc w:val="right"/>
              <w:rPr>
                <w:highlight w:val="yellow"/>
              </w:rPr>
            </w:pPr>
            <w:r w:rsidRPr="00E41256">
              <w:rPr>
                <w:highlight w:val="yellow"/>
              </w:rPr>
              <w:t>0.</w:t>
            </w:r>
            <w:r w:rsidR="00E41256" w:rsidRPr="00E41256">
              <w:rPr>
                <w:highlight w:val="yellow"/>
              </w:rPr>
              <w:t>40</w:t>
            </w:r>
          </w:p>
        </w:tc>
        <w:tc>
          <w:tcPr>
            <w:tcW w:w="828" w:type="pct"/>
            <w:tcBorders>
              <w:bottom w:val="single" w:sz="4" w:space="0" w:color="auto"/>
            </w:tcBorders>
          </w:tcPr>
          <w:p w:rsidR="00721B98" w:rsidRPr="00E41256" w:rsidRDefault="00721B98" w:rsidP="00E41256">
            <w:pPr>
              <w:keepNext/>
              <w:spacing w:before="20" w:after="20"/>
              <w:jc w:val="right"/>
              <w:rPr>
                <w:highlight w:val="yellow"/>
              </w:rPr>
            </w:pPr>
            <w:r w:rsidRPr="00E41256">
              <w:rPr>
                <w:highlight w:val="yellow"/>
              </w:rPr>
              <w:t>0.</w:t>
            </w:r>
            <w:r w:rsidR="00E41256" w:rsidRPr="00E41256">
              <w:rPr>
                <w:highlight w:val="yellow"/>
              </w:rPr>
              <w:t>56</w:t>
            </w:r>
          </w:p>
        </w:tc>
        <w:tc>
          <w:tcPr>
            <w:tcW w:w="828" w:type="pct"/>
            <w:tcBorders>
              <w:bottom w:val="single" w:sz="4" w:space="0" w:color="auto"/>
            </w:tcBorders>
          </w:tcPr>
          <w:p w:rsidR="00721B98" w:rsidRPr="00E41256" w:rsidRDefault="00721B98" w:rsidP="00E41256">
            <w:pPr>
              <w:keepNext/>
              <w:spacing w:before="20" w:after="20"/>
              <w:jc w:val="right"/>
              <w:rPr>
                <w:highlight w:val="yellow"/>
              </w:rPr>
            </w:pPr>
            <w:r w:rsidRPr="00E41256">
              <w:rPr>
                <w:highlight w:val="yellow"/>
              </w:rPr>
              <w:t>0.</w:t>
            </w:r>
            <w:r w:rsidR="00E41256" w:rsidRPr="00E41256">
              <w:rPr>
                <w:highlight w:val="yellow"/>
              </w:rPr>
              <w:t>42</w:t>
            </w:r>
          </w:p>
        </w:tc>
      </w:tr>
      <w:tr w:rsidR="00721B98">
        <w:trPr>
          <w:cantSplit/>
          <w:jc w:val="center"/>
        </w:trPr>
        <w:tc>
          <w:tcPr>
            <w:tcW w:w="5000" w:type="pct"/>
            <w:gridSpan w:val="5"/>
            <w:tcBorders>
              <w:left w:val="nil"/>
              <w:bottom w:val="nil"/>
              <w:right w:val="nil"/>
            </w:tcBorders>
          </w:tcPr>
          <w:p w:rsidR="00721B98" w:rsidRDefault="00721B98">
            <w:pPr>
              <w:pStyle w:val="Caption"/>
              <w:spacing w:before="40" w:after="0"/>
              <w:ind w:left="0"/>
            </w:pPr>
            <w:bookmarkStart w:id="15" w:name="_Ref503348532"/>
            <w:r>
              <w:t xml:space="preserve">Table </w:t>
            </w:r>
            <w:fldSimple w:instr=" SEQ Table \* ARABIC ">
              <w:r w:rsidR="00FF60D9">
                <w:rPr>
                  <w:noProof/>
                </w:rPr>
                <w:t>1</w:t>
              </w:r>
            </w:fldSimple>
            <w:bookmarkEnd w:id="15"/>
            <w:r>
              <w:t>: Quantitative results.</w:t>
            </w:r>
            <w:r w:rsidR="00E41256">
              <w:t xml:space="preserve">  </w:t>
            </w:r>
            <w:r w:rsidR="00E41256" w:rsidRPr="00E41256">
              <w:rPr>
                <w:sz w:val="14"/>
                <w:highlight w:val="yellow"/>
              </w:rPr>
              <w:t>(Corrected 2001/06/18.)</w:t>
            </w:r>
          </w:p>
        </w:tc>
      </w:tr>
    </w:tbl>
    <w:p w:rsidR="00721B98" w:rsidRDefault="00721B98">
      <w:pPr>
        <w:rPr>
          <w:sz w:val="2"/>
          <w:szCs w:val="2"/>
        </w:rPr>
      </w:pPr>
    </w:p>
    <w:p w:rsidR="00721B98" w:rsidRDefault="00721B98">
      <w:r>
        <w:fldChar w:fldCharType="begin"/>
      </w:r>
      <w:r>
        <w:instrText xml:space="preserve"> REF _Ref503348532 \h </w:instrText>
      </w:r>
      <w:r>
        <w:fldChar w:fldCharType="separate"/>
      </w:r>
      <w:r w:rsidR="00FF60D9">
        <w:t xml:space="preserve">Table </w:t>
      </w:r>
      <w:r w:rsidR="00FF60D9">
        <w:rPr>
          <w:noProof/>
        </w:rPr>
        <w:t>1</w:t>
      </w:r>
      <w:r>
        <w:fldChar w:fldCharType="end"/>
      </w:r>
      <w:r>
        <w:t xml:space="preserve"> provides results on the efficiency of the parametrization in reducing the required texture memory.  </w:t>
      </w:r>
      <w:r>
        <w:rPr>
          <w:i/>
          <w:iCs/>
        </w:rPr>
        <w:t>Stretch efficiency</w:t>
      </w:r>
      <w:r>
        <w:t xml:space="preserve"> is the total surface area in 3D divided by the total chart area in 2D,</w:t>
      </w:r>
      <w:r w:rsidR="007312E9">
        <w:t xml:space="preserve"> </w:t>
      </w:r>
      <m:oMath>
        <m:f>
          <m:fPr>
            <m:type m:val="lin"/>
            <m:ctrlPr>
              <w:rPr>
                <w:rFonts w:ascii="Cambria Math" w:hAnsi="Cambria Math"/>
                <w:i/>
              </w:rPr>
            </m:ctrlPr>
          </m:fPr>
          <m:num>
            <m:nary>
              <m:naryPr>
                <m:chr m:val="∑"/>
                <m:supHide m:val="1"/>
                <m:ctrlPr>
                  <w:rPr>
                    <w:rFonts w:ascii="Cambria Math" w:hAnsi="Cambria Math"/>
                    <w:i/>
                  </w:rPr>
                </m:ctrlPr>
              </m:naryPr>
              <m:sub>
                <m:r>
                  <w:rPr>
                    <w:rFonts w:ascii="Cambria Math" w:hAnsi="Cambria Math"/>
                  </w:rPr>
                  <m:t>T</m:t>
                </m:r>
              </m:sub>
              <m:sup/>
              <m:e>
                <m:sSup>
                  <m:sSupPr>
                    <m:ctrlPr>
                      <w:rPr>
                        <w:rFonts w:ascii="Cambria Math" w:hAnsi="Cambria Math"/>
                        <w:i/>
                      </w:rPr>
                    </m:ctrlPr>
                  </m:sSupPr>
                  <m:e>
                    <m:r>
                      <w:rPr>
                        <w:rFonts w:ascii="Cambria Math" w:hAnsi="Cambria Math"/>
                      </w:rPr>
                      <m:t>A</m:t>
                    </m:r>
                  </m:e>
                  <m:sup>
                    <m:r>
                      <w:rPr>
                        <w:rFonts w:ascii="Cambria Math" w:hAnsi="Cambria Math"/>
                      </w:rPr>
                      <m:t>'</m:t>
                    </m:r>
                  </m:sup>
                </m:sSup>
                <m:d>
                  <m:dPr>
                    <m:ctrlPr>
                      <w:rPr>
                        <w:rFonts w:ascii="Cambria Math" w:hAnsi="Cambria Math"/>
                        <w:i/>
                      </w:rPr>
                    </m:ctrlPr>
                  </m:dPr>
                  <m:e>
                    <m:r>
                      <w:rPr>
                        <w:rFonts w:ascii="Cambria Math" w:hAnsi="Cambria Math"/>
                      </w:rPr>
                      <m:t>T</m:t>
                    </m:r>
                  </m:e>
                </m:d>
              </m:e>
            </m:nary>
          </m:num>
          <m:den>
            <m:nary>
              <m:naryPr>
                <m:chr m:val="∑"/>
                <m:supHide m:val="1"/>
                <m:ctrlPr>
                  <w:rPr>
                    <w:rFonts w:ascii="Cambria Math" w:hAnsi="Cambria Math"/>
                    <w:i/>
                  </w:rPr>
                </m:ctrlPr>
              </m:naryPr>
              <m:sub>
                <m:r>
                  <w:rPr>
                    <w:rFonts w:ascii="Cambria Math" w:hAnsi="Cambria Math"/>
                  </w:rPr>
                  <m:t>T</m:t>
                </m:r>
              </m:sub>
              <m:sup/>
              <m:e>
                <m:r>
                  <w:rPr>
                    <w:rFonts w:ascii="Cambria Math" w:hAnsi="Cambria Math"/>
                  </w:rPr>
                  <m:t>A</m:t>
                </m:r>
                <m:d>
                  <m:dPr>
                    <m:ctrlPr>
                      <w:rPr>
                        <w:rFonts w:ascii="Cambria Math" w:hAnsi="Cambria Math"/>
                        <w:i/>
                      </w:rPr>
                    </m:ctrlPr>
                  </m:dPr>
                  <m:e>
                    <m:r>
                      <w:rPr>
                        <w:rFonts w:ascii="Cambria Math" w:hAnsi="Cambria Math"/>
                      </w:rPr>
                      <m:t>T</m:t>
                    </m:r>
                  </m:e>
                </m:d>
              </m:e>
            </m:nary>
          </m:den>
        </m:f>
      </m:oMath>
      <w:r>
        <w:t xml:space="preserve">, given that charts are resized as in Section </w:t>
      </w:r>
      <w:r>
        <w:fldChar w:fldCharType="begin"/>
      </w:r>
      <w:r>
        <w:instrText xml:space="preserve"> REF _Ref503082124 \r \h </w:instrText>
      </w:r>
      <w:r>
        <w:fldChar w:fldCharType="separate"/>
      </w:r>
      <w:r w:rsidR="00FF60D9">
        <w:t>4.3</w:t>
      </w:r>
      <w:r>
        <w:fldChar w:fldCharType="end"/>
      </w:r>
      <w:r>
        <w:t xml:space="preserve">.  It is less than unity if some surface regions are sampled more than necessary (i.e. if texture stretch is not uniform everywhere and in every direction).  </w:t>
      </w:r>
      <w:r>
        <w:rPr>
          <w:i/>
          <w:iCs/>
        </w:rPr>
        <w:t>Packing efficiency</w:t>
      </w:r>
      <w:r>
        <w:t xml:space="preserve"> is the sum of chart areas in 2D divided by the rectangular texture domain area.  It is less than unity due to two factors: the enclosure of chart polygons into rectangles, and the wasted space between the packed rectangles.  </w:t>
      </w:r>
      <w:r>
        <w:rPr>
          <w:i/>
          <w:iCs/>
        </w:rPr>
        <w:t>Texture efficiency</w:t>
      </w:r>
      <w:r>
        <w:t xml:space="preserve"> is the product of stretch and packing efficie</w:t>
      </w:r>
      <w:r>
        <w:t>n</w:t>
      </w:r>
      <w:r>
        <w:t>cies, or total surface area divided by texture domain area.</w:t>
      </w:r>
    </w:p>
    <w:p w:rsidR="00721B98" w:rsidRDefault="00721B98">
      <w:r>
        <w:t xml:space="preserve">A 1-texel gutter is required between texture charts in the texture domain.  The overhead of these gutters depends on the resolution assigned to the texture.  The packing efficiencies reported in </w:t>
      </w:r>
      <w:r>
        <w:fldChar w:fldCharType="begin"/>
      </w:r>
      <w:r>
        <w:instrText xml:space="preserve"> REF _Ref503348532 \h </w:instrText>
      </w:r>
      <w:r>
        <w:fldChar w:fldCharType="separate"/>
      </w:r>
      <w:r w:rsidR="00FF60D9">
        <w:t xml:space="preserve">Table </w:t>
      </w:r>
      <w:r w:rsidR="00FF60D9">
        <w:rPr>
          <w:noProof/>
        </w:rPr>
        <w:t>1</w:t>
      </w:r>
      <w:r>
        <w:fldChar w:fldCharType="end"/>
      </w:r>
      <w:r>
        <w:t xml:space="preserve"> ignore this overhead, and therefore assume a reasonably high sampling rate.</w:t>
      </w:r>
    </w:p>
    <w:p w:rsidR="00721B98" w:rsidRDefault="00721B98">
      <w:r>
        <w:t>Stretch efficiency can of course be improved by partitioning the surface into more charts</w:t>
      </w:r>
      <w:r w:rsidR="00DA20B1">
        <w:t>, but</w:t>
      </w:r>
      <w:r>
        <w:t xml:space="preserve"> this increases the complexity of the coarsest LOD mesh, and may lower overall texture efficiency due to the additional gutter area.</w:t>
      </w:r>
      <w:r w:rsidR="00DA20B1">
        <w:t xml:space="preserve">  Our stretch-minimizing parametriz</w:t>
      </w:r>
      <w:r w:rsidR="00DA20B1">
        <w:t>a</w:t>
      </w:r>
      <w:r w:rsidR="00DA20B1">
        <w:t>tion allows larger charts with fewer undersampling artifacts.</w:t>
      </w:r>
    </w:p>
    <w:p w:rsidR="00721B98" w:rsidRDefault="00721B98">
      <w:pPr>
        <w:pStyle w:val="Heading1"/>
      </w:pPr>
      <w:r>
        <w:t>Summary and future work</w:t>
      </w:r>
    </w:p>
    <w:p w:rsidR="00721B98" w:rsidRDefault="00721B98">
      <w:r>
        <w:t>We have presented a scheme for defining a texture atlas par</w:t>
      </w:r>
      <w:r>
        <w:t>a</w:t>
      </w:r>
      <w:r>
        <w:t>metrization over the PM representation of an arbitrary mesh.  This atlas permits the same texture image(s) to be used for all LOD mesh approximations in the PM sequence.  In forming the par</w:t>
      </w:r>
      <w:r>
        <w:t>a</w:t>
      </w:r>
      <w:r>
        <w:t>metrization, we optimized for both texture stretch and deviation on all meshes in the sequence.  We demonstrated that optimizing our new stretch metric creates a balanced parametrization that attempts to prevent undersampling at all locations and along all directions.</w:t>
      </w:r>
    </w:p>
    <w:p w:rsidR="00721B98" w:rsidRDefault="00721B98">
      <w:r>
        <w:t>There remain a number of areas for future work:</w:t>
      </w:r>
    </w:p>
    <w:p w:rsidR="00721B98" w:rsidRDefault="00721B98">
      <w:pPr>
        <w:pStyle w:val="Bullet"/>
      </w:pPr>
      <w:r>
        <w:t>Examining how best to address the trade-off between texture quality (stretch) and geometric quality (deviation).</w:t>
      </w:r>
    </w:p>
    <w:p w:rsidR="00721B98" w:rsidRDefault="00721B98">
      <w:pPr>
        <w:pStyle w:val="Bullet"/>
      </w:pPr>
      <w:r>
        <w:t>Constraining anisotropy in the parametrization.</w:t>
      </w:r>
    </w:p>
    <w:p w:rsidR="00721B98" w:rsidRDefault="00721B98">
      <w:pPr>
        <w:pStyle w:val="Bullet"/>
      </w:pPr>
      <w:r>
        <w:t>Applying our stretch-based parametrization approach to other multiresolution frameworks such as those using subdivision.</w:t>
      </w:r>
    </w:p>
    <w:p w:rsidR="00721B98" w:rsidRDefault="00721B98">
      <w:pPr>
        <w:pStyle w:val="Bullet"/>
      </w:pPr>
      <w:r>
        <w:t xml:space="preserve">Speeding up the parametrization optimization of Section </w:t>
      </w:r>
      <w:r>
        <w:fldChar w:fldCharType="begin"/>
      </w:r>
      <w:r>
        <w:instrText xml:space="preserve"> REF _Ref503519141 \r \h </w:instrText>
      </w:r>
      <w:r>
        <w:fldChar w:fldCharType="separate"/>
      </w:r>
      <w:r w:rsidR="00FF60D9">
        <w:t>3</w:t>
      </w:r>
      <w:r>
        <w:fldChar w:fldCharType="end"/>
      </w:r>
      <w:r>
        <w:t xml:space="preserve"> using a hierarchical coarse-to-fine approach as in </w:t>
      </w:r>
      <w:r>
        <w:fldChar w:fldCharType="begin"/>
      </w:r>
      <w:r>
        <w:instrText xml:space="preserve"> REF _Ref501878470 \r \h  \* MERGEFORMAT </w:instrText>
      </w:r>
      <w:r>
        <w:fldChar w:fldCharType="separate"/>
      </w:r>
      <w:r w:rsidR="00FF60D9">
        <w:t>[12]</w:t>
      </w:r>
      <w:r>
        <w:fldChar w:fldCharType="end"/>
      </w:r>
      <w:r>
        <w:t>.</w:t>
      </w:r>
    </w:p>
    <w:p w:rsidR="00721B98" w:rsidRDefault="00721B98">
      <w:pPr>
        <w:pStyle w:val="Bullet"/>
      </w:pPr>
      <w:r>
        <w:t xml:space="preserve">Given a known texture, optimizing the parametrization to consider local texture frequency content, as in </w:t>
      </w:r>
      <w:r>
        <w:fldChar w:fldCharType="begin"/>
      </w:r>
      <w:r>
        <w:instrText xml:space="preserve"> REF _Ref501772501 \r \h  \* MERGEFORMAT </w:instrText>
      </w:r>
      <w:r>
        <w:fldChar w:fldCharType="separate"/>
      </w:r>
      <w:r w:rsidR="00FF60D9">
        <w:t>[13]</w:t>
      </w:r>
      <w:r>
        <w:fldChar w:fldCharType="end"/>
      </w:r>
      <w:r>
        <w:fldChar w:fldCharType="begin"/>
      </w:r>
      <w:r>
        <w:instrText xml:space="preserve"> REF _Ref513028437 \r \h </w:instrText>
      </w:r>
      <w:r>
        <w:fldChar w:fldCharType="separate"/>
      </w:r>
      <w:r w:rsidR="00FF60D9">
        <w:t>[26]</w:t>
      </w:r>
      <w:r>
        <w:fldChar w:fldCharType="end"/>
      </w:r>
      <w:r>
        <w:t>.</w:t>
      </w:r>
    </w:p>
    <w:p w:rsidR="00721B98" w:rsidRDefault="00721B98">
      <w:pPr>
        <w:pStyle w:val="Bullet"/>
      </w:pPr>
      <w:r>
        <w:t>Addressing the problems involved when mip-mapping texture images containing multiple charts.</w:t>
      </w:r>
    </w:p>
    <w:p w:rsidR="00721B98" w:rsidRDefault="00721B98">
      <w:pPr>
        <w:pStyle w:val="Bullet"/>
      </w:pPr>
      <w:r>
        <w:t>Considering out-of-core execution for complex models.</w:t>
      </w:r>
    </w:p>
    <w:p w:rsidR="00721B98" w:rsidRDefault="00721B98">
      <w:pPr>
        <w:pStyle w:val="Heading1"/>
        <w:numPr>
          <w:ilvl w:val="0"/>
          <w:numId w:val="0"/>
        </w:numPr>
      </w:pPr>
      <w:r>
        <w:t>Acknowledgments</w:t>
      </w:r>
    </w:p>
    <w:p w:rsidR="00721B98" w:rsidRDefault="00721B98">
      <w:r>
        <w:t xml:space="preserve">We would like to thank the MIT Laboratory for Computer Science for use of their equipment. We also thank </w:t>
      </w:r>
      <w:smartTag w:uri="urn:schemas-microsoft-com:office:smarttags" w:element="place">
        <w:smartTag w:uri="urn:schemas-microsoft-com:office:smarttags" w:element="PlaceName">
          <w:r>
            <w:t>Stanford</w:t>
          </w:r>
        </w:smartTag>
        <w:r>
          <w:t xml:space="preserve"> </w:t>
        </w:r>
        <w:smartTag w:uri="urn:schemas-microsoft-com:office:smarttags" w:element="PlaceType">
          <w:r>
            <w:t>University</w:t>
          </w:r>
        </w:smartTag>
      </w:smartTag>
      <w:r>
        <w:t xml:space="preserve"> and Viewpoint for the models used in our experiments.  The first and third authors were supported in part by grants from the NSF, Sloan Foundation, and Microsoft Research.</w:t>
      </w:r>
    </w:p>
    <w:p w:rsidR="00721B98" w:rsidRDefault="00721B98">
      <w:pPr>
        <w:pStyle w:val="Heading1"/>
        <w:numPr>
          <w:ilvl w:val="0"/>
          <w:numId w:val="0"/>
        </w:numPr>
      </w:pPr>
      <w:r>
        <w:t>References</w:t>
      </w:r>
    </w:p>
    <w:p w:rsidR="00721B98" w:rsidRDefault="00721B98" w:rsidP="00880A85">
      <w:pPr>
        <w:pStyle w:val="References"/>
        <w:tabs>
          <w:tab w:val="left" w:pos="302"/>
        </w:tabs>
        <w:spacing w:after="72"/>
        <w:ind w:left="302" w:hanging="302"/>
        <w:rPr>
          <w:szCs w:val="18"/>
        </w:rPr>
      </w:pPr>
      <w:bookmarkStart w:id="16" w:name="_Ref501773049"/>
      <w:r>
        <w:rPr>
          <w:smallCaps/>
        </w:rPr>
        <w:t xml:space="preserve">Abadjev, V., </w:t>
      </w:r>
      <w:smartTag w:uri="urn:schemas-microsoft-com:office:smarttags" w:element="State">
        <w:smartTag w:uri="urn:schemas-microsoft-com:office:smarttags" w:element="place">
          <w:r>
            <w:rPr>
              <w:smallCaps/>
            </w:rPr>
            <w:t>del</w:t>
          </w:r>
        </w:smartTag>
      </w:smartTag>
      <w:r>
        <w:rPr>
          <w:smallCaps/>
        </w:rPr>
        <w:t xml:space="preserve"> </w:t>
      </w:r>
      <w:smartTag w:uri="urn:schemas-microsoft-com:office:smarttags" w:element="City">
        <w:smartTag w:uri="urn:schemas-microsoft-com:office:smarttags" w:element="place">
          <w:r>
            <w:rPr>
              <w:smallCaps/>
            </w:rPr>
            <w:t>Rosario</w:t>
          </w:r>
        </w:smartTag>
      </w:smartTag>
      <w:r>
        <w:rPr>
          <w:smallCaps/>
        </w:rPr>
        <w:t>, M., Lebedev, A., Migdal, A., and Paskhaver, V.</w:t>
      </w:r>
      <w:r>
        <w:rPr>
          <w:szCs w:val="18"/>
        </w:rPr>
        <w:t xml:space="preserve">  Metastream.  </w:t>
      </w:r>
      <w:r>
        <w:rPr>
          <w:i/>
          <w:iCs/>
        </w:rPr>
        <w:t>VRML 1999 Proceedings</w:t>
      </w:r>
      <w:r>
        <w:rPr>
          <w:szCs w:val="18"/>
        </w:rPr>
        <w:t>, pp. 53-62.</w:t>
      </w:r>
      <w:bookmarkEnd w:id="16"/>
    </w:p>
    <w:p w:rsidR="00721B98" w:rsidRDefault="00721B98" w:rsidP="00880A85">
      <w:pPr>
        <w:pStyle w:val="References"/>
        <w:tabs>
          <w:tab w:val="left" w:pos="302"/>
        </w:tabs>
        <w:spacing w:after="72"/>
        <w:ind w:left="302" w:hanging="302"/>
        <w:rPr>
          <w:szCs w:val="18"/>
        </w:rPr>
      </w:pPr>
      <w:bookmarkStart w:id="17" w:name="_Ref501777335"/>
      <w:r>
        <w:rPr>
          <w:smallCaps/>
        </w:rPr>
        <w:t>Cignoni, P., Montani, C., Rocchini, C., and Scopigno, R.</w:t>
      </w:r>
      <w:r>
        <w:rPr>
          <w:szCs w:val="18"/>
        </w:rPr>
        <w:t xml:space="preserve">  A general method for recovering attribute values on simplified meshes.  </w:t>
      </w:r>
      <w:r>
        <w:rPr>
          <w:i/>
          <w:iCs/>
        </w:rPr>
        <w:t>IEEE Visualization 1998</w:t>
      </w:r>
      <w:r>
        <w:rPr>
          <w:szCs w:val="18"/>
        </w:rPr>
        <w:t>, pp. 59-66.</w:t>
      </w:r>
      <w:bookmarkEnd w:id="17"/>
    </w:p>
    <w:p w:rsidR="00721B98" w:rsidRDefault="00721B98" w:rsidP="00880A85">
      <w:pPr>
        <w:pStyle w:val="References"/>
        <w:tabs>
          <w:tab w:val="left" w:pos="302"/>
        </w:tabs>
        <w:spacing w:after="72"/>
        <w:ind w:left="302" w:hanging="302"/>
        <w:rPr>
          <w:szCs w:val="18"/>
        </w:rPr>
      </w:pPr>
      <w:bookmarkStart w:id="18" w:name="_Ref501777873"/>
      <w:r>
        <w:rPr>
          <w:smallCaps/>
        </w:rPr>
        <w:t>Cohen, J., Olano, M., and Manocha, D.</w:t>
      </w:r>
      <w:r>
        <w:rPr>
          <w:szCs w:val="18"/>
        </w:rPr>
        <w:t xml:space="preserve">  Appearance-preserving simplification.  </w:t>
      </w:r>
      <w:r>
        <w:rPr>
          <w:i/>
          <w:iCs/>
        </w:rPr>
        <w:t>SIGGRAPH 1998</w:t>
      </w:r>
      <w:r>
        <w:rPr>
          <w:szCs w:val="18"/>
        </w:rPr>
        <w:t>, pp. 115-122.</w:t>
      </w:r>
      <w:bookmarkEnd w:id="18"/>
    </w:p>
    <w:p w:rsidR="00721B98" w:rsidRDefault="00721B98" w:rsidP="00880A85">
      <w:pPr>
        <w:pStyle w:val="References"/>
        <w:tabs>
          <w:tab w:val="left" w:pos="302"/>
        </w:tabs>
        <w:spacing w:after="72"/>
        <w:ind w:left="302" w:hanging="302"/>
        <w:rPr>
          <w:szCs w:val="18"/>
        </w:rPr>
      </w:pPr>
      <w:bookmarkStart w:id="19" w:name="_Ref501778256"/>
      <w:r>
        <w:rPr>
          <w:smallCaps/>
        </w:rPr>
        <w:t>Eck, M., DeRose, T., Duchamp, T., Hoppe, H., Lounsbery, M., and Stuetzle, W.</w:t>
      </w:r>
      <w:r>
        <w:rPr>
          <w:szCs w:val="18"/>
        </w:rPr>
        <w:t xml:space="preserve">  Multiresolution analysis of arbitrary meshes.  </w:t>
      </w:r>
      <w:r>
        <w:rPr>
          <w:i/>
          <w:iCs/>
        </w:rPr>
        <w:t>SIGGRAPH 1995</w:t>
      </w:r>
      <w:r>
        <w:rPr>
          <w:szCs w:val="18"/>
        </w:rPr>
        <w:t>, pp. 173-182.</w:t>
      </w:r>
      <w:bookmarkEnd w:id="19"/>
    </w:p>
    <w:p w:rsidR="00721B98" w:rsidRDefault="00721B98" w:rsidP="00880A85">
      <w:pPr>
        <w:pStyle w:val="References"/>
        <w:tabs>
          <w:tab w:val="left" w:pos="302"/>
        </w:tabs>
        <w:spacing w:after="72"/>
        <w:ind w:left="302" w:hanging="302"/>
        <w:rPr>
          <w:szCs w:val="18"/>
        </w:rPr>
      </w:pPr>
      <w:bookmarkStart w:id="20" w:name="_Ref501788518"/>
      <w:r>
        <w:rPr>
          <w:smallCaps/>
        </w:rPr>
        <w:t>Floater, M.</w:t>
      </w:r>
      <w:r>
        <w:rPr>
          <w:szCs w:val="18"/>
        </w:rPr>
        <w:t xml:space="preserve">  Parametrization and smooth approximation of surface triangulations.  </w:t>
      </w:r>
      <w:r>
        <w:rPr>
          <w:i/>
          <w:iCs/>
        </w:rPr>
        <w:t>CAGD</w:t>
      </w:r>
      <w:r>
        <w:rPr>
          <w:szCs w:val="18"/>
        </w:rPr>
        <w:t xml:space="preserve"> 14(3), pp. 231-250, 1997.</w:t>
      </w:r>
      <w:bookmarkEnd w:id="20"/>
    </w:p>
    <w:p w:rsidR="00721B98" w:rsidRDefault="00721B98" w:rsidP="00880A85">
      <w:pPr>
        <w:pStyle w:val="References"/>
        <w:tabs>
          <w:tab w:val="left" w:pos="302"/>
        </w:tabs>
        <w:spacing w:after="72"/>
        <w:ind w:left="302" w:hanging="302"/>
        <w:rPr>
          <w:szCs w:val="18"/>
        </w:rPr>
      </w:pPr>
      <w:bookmarkStart w:id="21" w:name="_Ref513019801"/>
      <w:smartTag w:uri="urn:schemas-microsoft-com:office:smarttags" w:element="City">
        <w:smartTag w:uri="urn:schemas-microsoft-com:office:smarttags" w:element="place">
          <w:r>
            <w:rPr>
              <w:smallCaps/>
            </w:rPr>
            <w:t>Garland</w:t>
          </w:r>
        </w:smartTag>
      </w:smartTag>
      <w:r>
        <w:rPr>
          <w:smallCaps/>
        </w:rPr>
        <w:t>, M., Willmott, A., and Heckbert, P.</w:t>
      </w:r>
      <w:r>
        <w:rPr>
          <w:szCs w:val="18"/>
        </w:rPr>
        <w:t xml:space="preserve">  Hierarchical face clustering on polygonal surfaces.   </w:t>
      </w:r>
      <w:r>
        <w:rPr>
          <w:i/>
          <w:iCs/>
        </w:rPr>
        <w:t>Symposium on Interactive 3D Graphics 2001</w:t>
      </w:r>
      <w:r>
        <w:rPr>
          <w:szCs w:val="18"/>
        </w:rPr>
        <w:t>, pp. 49-58.</w:t>
      </w:r>
      <w:bookmarkEnd w:id="21"/>
    </w:p>
    <w:p w:rsidR="00721B98" w:rsidRDefault="00721B98" w:rsidP="00880A85">
      <w:pPr>
        <w:pStyle w:val="References"/>
        <w:tabs>
          <w:tab w:val="left" w:pos="302"/>
        </w:tabs>
        <w:spacing w:after="72"/>
        <w:ind w:left="302" w:hanging="302"/>
        <w:rPr>
          <w:szCs w:val="18"/>
        </w:rPr>
      </w:pPr>
      <w:bookmarkStart w:id="22" w:name="_Ref513535682"/>
      <w:r>
        <w:rPr>
          <w:smallCaps/>
        </w:rPr>
        <w:t>Gortler, S., Grzeszczuk, R., Szeliski, R., and Cohen, M.</w:t>
      </w:r>
      <w:r>
        <w:rPr>
          <w:szCs w:val="18"/>
        </w:rPr>
        <w:t xml:space="preserve">  The Lumigraph.  </w:t>
      </w:r>
      <w:r>
        <w:rPr>
          <w:i/>
          <w:szCs w:val="18"/>
        </w:rPr>
        <w:t>SIGGRAPH 1996</w:t>
      </w:r>
      <w:r>
        <w:rPr>
          <w:szCs w:val="18"/>
        </w:rPr>
        <w:t>, pp. 43-54.</w:t>
      </w:r>
      <w:bookmarkEnd w:id="22"/>
    </w:p>
    <w:p w:rsidR="00721B98" w:rsidRDefault="00721B98" w:rsidP="00880A85">
      <w:pPr>
        <w:pStyle w:val="References"/>
        <w:tabs>
          <w:tab w:val="left" w:pos="302"/>
        </w:tabs>
        <w:spacing w:after="72"/>
        <w:ind w:left="302" w:hanging="302"/>
        <w:rPr>
          <w:szCs w:val="18"/>
        </w:rPr>
      </w:pPr>
      <w:bookmarkStart w:id="23" w:name="_Ref501778674"/>
      <w:r>
        <w:rPr>
          <w:smallCaps/>
        </w:rPr>
        <w:t xml:space="preserve">Guskov, </w:t>
      </w:r>
      <w:smartTag w:uri="urn:schemas-microsoft-com:office:smarttags" w:element="place">
        <w:r>
          <w:rPr>
            <w:smallCaps/>
          </w:rPr>
          <w:t>I.</w:t>
        </w:r>
      </w:smartTag>
      <w:r>
        <w:rPr>
          <w:smallCaps/>
        </w:rPr>
        <w:t>, Vidimče, K., Sweldens, W., and Schröder, P.</w:t>
      </w:r>
      <w:r>
        <w:rPr>
          <w:szCs w:val="18"/>
        </w:rPr>
        <w:t xml:space="preserve">  </w:t>
      </w:r>
      <w:smartTag w:uri="urn:schemas-microsoft-com:office:smarttags" w:element="City">
        <w:smartTag w:uri="urn:schemas-microsoft-com:office:smarttags" w:element="place">
          <w:r>
            <w:rPr>
              <w:szCs w:val="18"/>
            </w:rPr>
            <w:t>Normal</w:t>
          </w:r>
        </w:smartTag>
      </w:smartTag>
      <w:r>
        <w:rPr>
          <w:szCs w:val="18"/>
        </w:rPr>
        <w:t xml:space="preserve"> meshes.  </w:t>
      </w:r>
      <w:r>
        <w:rPr>
          <w:i/>
          <w:iCs/>
        </w:rPr>
        <w:t>SIGGRAPH 2000</w:t>
      </w:r>
      <w:r>
        <w:rPr>
          <w:szCs w:val="18"/>
        </w:rPr>
        <w:t>, pp. 95-102.</w:t>
      </w:r>
      <w:bookmarkEnd w:id="23"/>
    </w:p>
    <w:p w:rsidR="00721B98" w:rsidRDefault="00721B98" w:rsidP="00880A85">
      <w:pPr>
        <w:pStyle w:val="References"/>
        <w:tabs>
          <w:tab w:val="left" w:pos="302"/>
        </w:tabs>
        <w:spacing w:after="72"/>
        <w:ind w:left="302" w:hanging="302"/>
        <w:rPr>
          <w:szCs w:val="18"/>
        </w:rPr>
      </w:pPr>
      <w:bookmarkStart w:id="24" w:name="_Ref501772273"/>
      <w:r>
        <w:rPr>
          <w:smallCaps/>
        </w:rPr>
        <w:t>Hinker, P., and Hansen, C.</w:t>
      </w:r>
      <w:r>
        <w:rPr>
          <w:szCs w:val="18"/>
        </w:rPr>
        <w:t xml:space="preserve">  Geometric optimization.  </w:t>
      </w:r>
      <w:r>
        <w:rPr>
          <w:i/>
          <w:iCs/>
        </w:rPr>
        <w:t>IEEE Visual</w:t>
      </w:r>
      <w:r>
        <w:rPr>
          <w:i/>
          <w:iCs/>
        </w:rPr>
        <w:t>i</w:t>
      </w:r>
      <w:r>
        <w:rPr>
          <w:i/>
          <w:iCs/>
        </w:rPr>
        <w:t>zation 1993</w:t>
      </w:r>
      <w:r>
        <w:rPr>
          <w:szCs w:val="18"/>
        </w:rPr>
        <w:t>, pp. 189-195.</w:t>
      </w:r>
      <w:bookmarkEnd w:id="24"/>
    </w:p>
    <w:p w:rsidR="00721B98" w:rsidRDefault="00721B98" w:rsidP="00880A85">
      <w:pPr>
        <w:pStyle w:val="References"/>
        <w:tabs>
          <w:tab w:val="left" w:pos="302"/>
        </w:tabs>
        <w:spacing w:after="72"/>
        <w:ind w:left="302" w:hanging="302"/>
        <w:rPr>
          <w:szCs w:val="18"/>
        </w:rPr>
      </w:pPr>
      <w:bookmarkStart w:id="25" w:name="_Ref501772595"/>
      <w:r>
        <w:rPr>
          <w:smallCaps/>
        </w:rPr>
        <w:t>Hoppe, H.</w:t>
      </w:r>
      <w:r>
        <w:rPr>
          <w:szCs w:val="18"/>
        </w:rPr>
        <w:t xml:space="preserve">  Progressive meshes.  </w:t>
      </w:r>
      <w:r>
        <w:rPr>
          <w:i/>
          <w:iCs/>
        </w:rPr>
        <w:t>SIGGRAPH 1996</w:t>
      </w:r>
      <w:r>
        <w:rPr>
          <w:szCs w:val="18"/>
        </w:rPr>
        <w:t>, pp. 99-108.</w:t>
      </w:r>
      <w:bookmarkEnd w:id="25"/>
    </w:p>
    <w:p w:rsidR="00721B98" w:rsidRDefault="00721B98" w:rsidP="00880A85">
      <w:pPr>
        <w:pStyle w:val="References"/>
        <w:tabs>
          <w:tab w:val="left" w:pos="302"/>
        </w:tabs>
        <w:spacing w:after="72"/>
        <w:ind w:left="302" w:hanging="302"/>
        <w:rPr>
          <w:szCs w:val="18"/>
        </w:rPr>
      </w:pPr>
      <w:bookmarkStart w:id="26" w:name="_Ref501878670"/>
      <w:r>
        <w:rPr>
          <w:smallCaps/>
        </w:rPr>
        <w:t>Hormann, K., and Greiner, G.</w:t>
      </w:r>
      <w:r>
        <w:rPr>
          <w:szCs w:val="18"/>
        </w:rPr>
        <w:t xml:space="preserve">  MIPS – an efficient global par</w:t>
      </w:r>
      <w:r>
        <w:rPr>
          <w:szCs w:val="18"/>
        </w:rPr>
        <w:t>a</w:t>
      </w:r>
      <w:r>
        <w:rPr>
          <w:szCs w:val="18"/>
        </w:rPr>
        <w:t>metrization method.  Technical Report 27/1998, Universität Erlangen-Nürnberg.</w:t>
      </w:r>
      <w:bookmarkEnd w:id="26"/>
    </w:p>
    <w:p w:rsidR="00721B98" w:rsidRDefault="00721B98" w:rsidP="00880A85">
      <w:pPr>
        <w:pStyle w:val="References"/>
        <w:tabs>
          <w:tab w:val="left" w:pos="302"/>
        </w:tabs>
        <w:spacing w:after="72"/>
        <w:ind w:left="302" w:hanging="302"/>
        <w:rPr>
          <w:szCs w:val="18"/>
        </w:rPr>
      </w:pPr>
      <w:bookmarkStart w:id="27" w:name="_Ref501878470"/>
      <w:r>
        <w:rPr>
          <w:smallCaps/>
        </w:rPr>
        <w:t>Hormann, K., Greiner, G., and Campagna, S.</w:t>
      </w:r>
      <w:r>
        <w:rPr>
          <w:szCs w:val="18"/>
        </w:rPr>
        <w:t xml:space="preserve">  Hierarchical parametrization of triangulated surfaces.  </w:t>
      </w:r>
      <w:r>
        <w:rPr>
          <w:i/>
          <w:iCs/>
        </w:rPr>
        <w:t>Vision, Modeling, and Vis</w:t>
      </w:r>
      <w:r>
        <w:rPr>
          <w:i/>
          <w:iCs/>
        </w:rPr>
        <w:t>u</w:t>
      </w:r>
      <w:r>
        <w:rPr>
          <w:i/>
          <w:iCs/>
        </w:rPr>
        <w:t>alization 1999</w:t>
      </w:r>
      <w:r>
        <w:rPr>
          <w:szCs w:val="18"/>
        </w:rPr>
        <w:t>, pp. 219-226.</w:t>
      </w:r>
      <w:bookmarkEnd w:id="27"/>
    </w:p>
    <w:p w:rsidR="00721B98" w:rsidRDefault="00721B98" w:rsidP="00880A85">
      <w:pPr>
        <w:pStyle w:val="References"/>
        <w:tabs>
          <w:tab w:val="left" w:pos="302"/>
        </w:tabs>
        <w:spacing w:after="72"/>
        <w:ind w:left="302" w:hanging="302"/>
      </w:pPr>
      <w:bookmarkStart w:id="28" w:name="_Ref501772501"/>
      <w:bookmarkStart w:id="29" w:name="_Ref501348032"/>
      <w:bookmarkStart w:id="30" w:name="_Ref469323629"/>
      <w:bookmarkStart w:id="31" w:name="_Ref469323925"/>
      <w:bookmarkStart w:id="32" w:name="_Ref469324137"/>
      <w:bookmarkStart w:id="33" w:name="_Ref469324385"/>
      <w:r>
        <w:rPr>
          <w:smallCaps/>
        </w:rPr>
        <w:t>Hunter, A., and Cohen, J.</w:t>
      </w:r>
      <w:r>
        <w:rPr>
          <w:szCs w:val="18"/>
        </w:rPr>
        <w:t xml:space="preserve">  Uniform frequency images: adding geometry to images to produce space-efficient textures.  </w:t>
      </w:r>
      <w:r>
        <w:rPr>
          <w:i/>
          <w:iCs/>
        </w:rPr>
        <w:t>IEEE Visua</w:t>
      </w:r>
      <w:r>
        <w:rPr>
          <w:i/>
          <w:iCs/>
        </w:rPr>
        <w:t>l</w:t>
      </w:r>
      <w:r>
        <w:rPr>
          <w:i/>
          <w:iCs/>
        </w:rPr>
        <w:t>ization 2000</w:t>
      </w:r>
      <w:r>
        <w:rPr>
          <w:szCs w:val="18"/>
        </w:rPr>
        <w:t>, pp. 243-250.</w:t>
      </w:r>
      <w:bookmarkEnd w:id="28"/>
    </w:p>
    <w:p w:rsidR="00721B98" w:rsidRDefault="00721B98" w:rsidP="00880A85">
      <w:pPr>
        <w:pStyle w:val="References"/>
        <w:tabs>
          <w:tab w:val="left" w:pos="302"/>
        </w:tabs>
        <w:spacing w:after="72"/>
        <w:ind w:left="302" w:hanging="302"/>
      </w:pPr>
      <w:bookmarkStart w:id="34" w:name="_Ref513025090"/>
      <w:r>
        <w:rPr>
          <w:smallCaps/>
        </w:rPr>
        <w:t>Igarashi, T., and Cosgrove, D.</w:t>
      </w:r>
      <w:r>
        <w:rPr>
          <w:szCs w:val="18"/>
        </w:rPr>
        <w:t xml:space="preserve">  Adaptive unwrapping for intera</w:t>
      </w:r>
      <w:r>
        <w:rPr>
          <w:szCs w:val="18"/>
        </w:rPr>
        <w:t>c</w:t>
      </w:r>
      <w:r>
        <w:rPr>
          <w:szCs w:val="18"/>
        </w:rPr>
        <w:t>tive textu</w:t>
      </w:r>
      <w:r>
        <w:t xml:space="preserve">re painting.  </w:t>
      </w:r>
      <w:r>
        <w:rPr>
          <w:i/>
          <w:iCs/>
        </w:rPr>
        <w:t>Symposium on Interactive 3D Graphics 2001</w:t>
      </w:r>
      <w:r>
        <w:rPr>
          <w:szCs w:val="18"/>
        </w:rPr>
        <w:t>, pp. 209-216.</w:t>
      </w:r>
      <w:bookmarkEnd w:id="34"/>
    </w:p>
    <w:p w:rsidR="00721B98" w:rsidRDefault="00721B98" w:rsidP="00880A85">
      <w:pPr>
        <w:pStyle w:val="References"/>
        <w:tabs>
          <w:tab w:val="left" w:pos="302"/>
        </w:tabs>
        <w:spacing w:after="72"/>
        <w:ind w:left="302" w:hanging="302"/>
      </w:pPr>
      <w:bookmarkStart w:id="35" w:name="_Ref501772275"/>
      <w:r>
        <w:rPr>
          <w:smallCaps/>
        </w:rPr>
        <w:t>Kalvin, A., and Taylor, R.</w:t>
      </w:r>
      <w:r>
        <w:rPr>
          <w:szCs w:val="18"/>
        </w:rPr>
        <w:t xml:space="preserve">  SuperFaces: Polyhedral approximation with bou</w:t>
      </w:r>
      <w:r>
        <w:t xml:space="preserve">nded error.  </w:t>
      </w:r>
      <w:r>
        <w:rPr>
          <w:i/>
          <w:iCs/>
        </w:rPr>
        <w:t>SPIE Proceedings 2164</w:t>
      </w:r>
      <w:r>
        <w:rPr>
          <w:szCs w:val="18"/>
        </w:rPr>
        <w:t>, pp. 2-13, 1994.</w:t>
      </w:r>
      <w:bookmarkEnd w:id="35"/>
    </w:p>
    <w:p w:rsidR="00721B98" w:rsidRDefault="00721B98" w:rsidP="00880A85">
      <w:pPr>
        <w:pStyle w:val="References"/>
        <w:tabs>
          <w:tab w:val="left" w:pos="302"/>
        </w:tabs>
        <w:spacing w:after="72"/>
        <w:ind w:left="302" w:hanging="302"/>
      </w:pPr>
      <w:bookmarkStart w:id="36" w:name="_Ref503074018"/>
      <w:r>
        <w:rPr>
          <w:smallCaps/>
        </w:rPr>
        <w:t>Kobbelt, L., Campagna, S., and Seidel, H.-P.</w:t>
      </w:r>
      <w:r>
        <w:rPr>
          <w:szCs w:val="18"/>
        </w:rPr>
        <w:t xml:space="preserve">  A general fram</w:t>
      </w:r>
      <w:r>
        <w:rPr>
          <w:szCs w:val="18"/>
        </w:rPr>
        <w:t>e</w:t>
      </w:r>
      <w:r>
        <w:rPr>
          <w:szCs w:val="18"/>
        </w:rPr>
        <w:t xml:space="preserve">work for mesh decimation.  </w:t>
      </w:r>
      <w:r>
        <w:rPr>
          <w:i/>
          <w:iCs/>
        </w:rPr>
        <w:t>Proceedings of Graphics Interface ‘98</w:t>
      </w:r>
      <w:bookmarkEnd w:id="36"/>
      <w:r>
        <w:rPr>
          <w:szCs w:val="18"/>
        </w:rPr>
        <w:t>, pp. 43-50.</w:t>
      </w:r>
    </w:p>
    <w:p w:rsidR="00721B98" w:rsidRDefault="00721B98" w:rsidP="00880A85">
      <w:pPr>
        <w:pStyle w:val="References"/>
        <w:tabs>
          <w:tab w:val="left" w:pos="302"/>
        </w:tabs>
        <w:spacing w:after="72"/>
        <w:ind w:left="302" w:hanging="302"/>
      </w:pPr>
      <w:bookmarkStart w:id="37" w:name="_Ref501778154"/>
      <w:r>
        <w:rPr>
          <w:smallCaps/>
        </w:rPr>
        <w:t>Krishnamurthy, V., and Levoy, M.</w:t>
      </w:r>
      <w:r>
        <w:rPr>
          <w:szCs w:val="18"/>
        </w:rPr>
        <w:t xml:space="preserve">  Fitting smooth surfaces to de</w:t>
      </w:r>
      <w:r>
        <w:t xml:space="preserve">nse polygon meshes.  </w:t>
      </w:r>
      <w:r>
        <w:rPr>
          <w:i/>
          <w:iCs/>
        </w:rPr>
        <w:t>SIGGRAPH 1996</w:t>
      </w:r>
      <w:r>
        <w:rPr>
          <w:szCs w:val="18"/>
        </w:rPr>
        <w:t>, pp. 313-324.</w:t>
      </w:r>
      <w:bookmarkEnd w:id="37"/>
    </w:p>
    <w:p w:rsidR="00721B98" w:rsidRDefault="00721B98" w:rsidP="00880A85">
      <w:pPr>
        <w:pStyle w:val="References"/>
        <w:tabs>
          <w:tab w:val="left" w:pos="302"/>
        </w:tabs>
        <w:spacing w:after="72"/>
        <w:ind w:left="302" w:hanging="302"/>
      </w:pPr>
      <w:bookmarkStart w:id="38" w:name="_Ref501778659"/>
      <w:r>
        <w:rPr>
          <w:smallCaps/>
        </w:rPr>
        <w:t>Lee, A., Sweldens, W., Schröder, P., Cowsar, L., and Dobkin, D.</w:t>
      </w:r>
      <w:r>
        <w:rPr>
          <w:szCs w:val="18"/>
        </w:rPr>
        <w:t xml:space="preserve">  MA</w:t>
      </w:r>
      <w:r>
        <w:t>PS: Multiresolution adaptive parametrization of su</w:t>
      </w:r>
      <w:r>
        <w:rPr>
          <w:szCs w:val="18"/>
        </w:rPr>
        <w:t xml:space="preserve">rfaces.  </w:t>
      </w:r>
      <w:r>
        <w:rPr>
          <w:i/>
          <w:iCs/>
        </w:rPr>
        <w:t>SI</w:t>
      </w:r>
      <w:r>
        <w:rPr>
          <w:i/>
          <w:iCs/>
        </w:rPr>
        <w:t>G</w:t>
      </w:r>
      <w:r>
        <w:rPr>
          <w:i/>
          <w:iCs/>
        </w:rPr>
        <w:t>GRAPH 1998</w:t>
      </w:r>
      <w:r>
        <w:rPr>
          <w:szCs w:val="18"/>
        </w:rPr>
        <w:t>, pp. 95-104.</w:t>
      </w:r>
      <w:bookmarkEnd w:id="38"/>
    </w:p>
    <w:p w:rsidR="00721B98" w:rsidRDefault="00721B98" w:rsidP="00880A85">
      <w:pPr>
        <w:pStyle w:val="References"/>
        <w:tabs>
          <w:tab w:val="left" w:pos="302"/>
        </w:tabs>
        <w:spacing w:after="72"/>
        <w:ind w:left="302" w:hanging="302"/>
      </w:pPr>
      <w:bookmarkStart w:id="39" w:name="_Ref501787098"/>
      <w:r>
        <w:rPr>
          <w:smallCaps/>
        </w:rPr>
        <w:t>Lévy, B., and Mallet, J.-L.</w:t>
      </w:r>
      <w:r>
        <w:rPr>
          <w:szCs w:val="18"/>
        </w:rPr>
        <w:t xml:space="preserve">  Non-distorted texture map</w:t>
      </w:r>
      <w:r>
        <w:t xml:space="preserve">ping for sheared triangulated meshes.  </w:t>
      </w:r>
      <w:r>
        <w:rPr>
          <w:i/>
          <w:iCs/>
        </w:rPr>
        <w:t>SIGGRAPH 1998</w:t>
      </w:r>
      <w:r>
        <w:rPr>
          <w:szCs w:val="18"/>
        </w:rPr>
        <w:t>, pp. 343-352.</w:t>
      </w:r>
      <w:bookmarkEnd w:id="39"/>
    </w:p>
    <w:p w:rsidR="00721B98" w:rsidRDefault="00721B98" w:rsidP="00880A85">
      <w:pPr>
        <w:pStyle w:val="References"/>
        <w:tabs>
          <w:tab w:val="left" w:pos="302"/>
        </w:tabs>
        <w:spacing w:after="72"/>
        <w:ind w:left="302" w:hanging="302"/>
      </w:pPr>
      <w:bookmarkStart w:id="40" w:name="_Ref503521595"/>
      <w:bookmarkStart w:id="41" w:name="_Ref501778025"/>
      <w:r>
        <w:rPr>
          <w:smallCaps/>
        </w:rPr>
        <w:t>Lindstrom, P., and Turk, G.</w:t>
      </w:r>
      <w:r>
        <w:rPr>
          <w:szCs w:val="18"/>
        </w:rPr>
        <w:t xml:space="preserve">  Fast and memory effi</w:t>
      </w:r>
      <w:r>
        <w:t xml:space="preserve">cient polygonal simplification.  </w:t>
      </w:r>
      <w:r>
        <w:rPr>
          <w:i/>
          <w:iCs/>
        </w:rPr>
        <w:t>IEEE Visualization 1998</w:t>
      </w:r>
      <w:r>
        <w:rPr>
          <w:szCs w:val="18"/>
        </w:rPr>
        <w:t>, pp. 279-286.</w:t>
      </w:r>
      <w:bookmarkEnd w:id="40"/>
    </w:p>
    <w:p w:rsidR="00721B98" w:rsidRDefault="00721B98" w:rsidP="00880A85">
      <w:pPr>
        <w:pStyle w:val="References"/>
        <w:tabs>
          <w:tab w:val="left" w:pos="302"/>
        </w:tabs>
        <w:spacing w:after="72"/>
        <w:ind w:left="302" w:hanging="302"/>
      </w:pPr>
      <w:bookmarkStart w:id="42" w:name="_Ref503521644"/>
      <w:r>
        <w:rPr>
          <w:smallCaps/>
        </w:rPr>
        <w:t>Maillot, J., Yahia, H., and Verroust, A.</w:t>
      </w:r>
      <w:r>
        <w:rPr>
          <w:szCs w:val="18"/>
        </w:rPr>
        <w:t xml:space="preserve">  Interactive texture mapping</w:t>
      </w:r>
      <w:r>
        <w:t xml:space="preserve">.  </w:t>
      </w:r>
      <w:r>
        <w:rPr>
          <w:i/>
          <w:iCs/>
        </w:rPr>
        <w:t>SIGGRAPH 1993</w:t>
      </w:r>
      <w:r>
        <w:rPr>
          <w:szCs w:val="18"/>
        </w:rPr>
        <w:t>, pp. 27-34.</w:t>
      </w:r>
      <w:bookmarkEnd w:id="41"/>
      <w:bookmarkEnd w:id="42"/>
    </w:p>
    <w:p w:rsidR="00721B98" w:rsidRDefault="00721B98" w:rsidP="00880A85">
      <w:pPr>
        <w:pStyle w:val="References"/>
        <w:tabs>
          <w:tab w:val="left" w:pos="302"/>
        </w:tabs>
        <w:spacing w:after="72"/>
        <w:ind w:left="302" w:hanging="302"/>
      </w:pPr>
      <w:bookmarkStart w:id="43" w:name="_Ref501777744"/>
      <w:r>
        <w:rPr>
          <w:smallCaps/>
        </w:rPr>
        <w:t>Maruya, M.</w:t>
      </w:r>
      <w:r>
        <w:rPr>
          <w:szCs w:val="18"/>
        </w:rPr>
        <w:t xml:space="preserve">  Generating texture map from object-surface texture data.  </w:t>
      </w:r>
      <w:r>
        <w:rPr>
          <w:i/>
          <w:iCs/>
        </w:rPr>
        <w:t>Computer Graphics Forum (Proceedings of Eurographics ’95)</w:t>
      </w:r>
      <w:r>
        <w:rPr>
          <w:szCs w:val="18"/>
        </w:rPr>
        <w:t xml:space="preserve"> 14(3), pp. 397-405.</w:t>
      </w:r>
      <w:bookmarkEnd w:id="43"/>
    </w:p>
    <w:p w:rsidR="00721B98" w:rsidRDefault="00721B98" w:rsidP="00880A85">
      <w:pPr>
        <w:pStyle w:val="References"/>
        <w:tabs>
          <w:tab w:val="left" w:pos="302"/>
        </w:tabs>
        <w:spacing w:after="72"/>
        <w:ind w:left="302" w:hanging="302"/>
      </w:pPr>
      <w:bookmarkStart w:id="44" w:name="_Ref501789176"/>
      <w:r>
        <w:rPr>
          <w:smallCaps/>
        </w:rPr>
        <w:t>Milenkovic, V.</w:t>
      </w:r>
      <w:r>
        <w:rPr>
          <w:szCs w:val="18"/>
        </w:rPr>
        <w:t xml:space="preserve">  Rotational polygon containment and minimum enclosure.  </w:t>
      </w:r>
      <w:r>
        <w:rPr>
          <w:i/>
          <w:iCs/>
        </w:rPr>
        <w:t>Proc. of 14th Annual Symposium on Comput</w:t>
      </w:r>
      <w:r>
        <w:rPr>
          <w:i/>
          <w:iCs/>
        </w:rPr>
        <w:softHyphen/>
        <w:t>ational G</w:t>
      </w:r>
      <w:r>
        <w:rPr>
          <w:i/>
          <w:iCs/>
        </w:rPr>
        <w:t>e</w:t>
      </w:r>
      <w:r>
        <w:rPr>
          <w:i/>
          <w:iCs/>
        </w:rPr>
        <w:t>ometry</w:t>
      </w:r>
      <w:r>
        <w:rPr>
          <w:szCs w:val="18"/>
        </w:rPr>
        <w:t>, ACM, 1998.</w:t>
      </w:r>
      <w:bookmarkEnd w:id="44"/>
    </w:p>
    <w:p w:rsidR="00721B98" w:rsidRDefault="00721B98" w:rsidP="00880A85">
      <w:pPr>
        <w:pStyle w:val="References"/>
        <w:tabs>
          <w:tab w:val="left" w:pos="302"/>
        </w:tabs>
        <w:spacing w:after="72"/>
        <w:ind w:left="302" w:hanging="302"/>
      </w:pPr>
      <w:bookmarkStart w:id="45" w:name="_Ref501779149"/>
      <w:r>
        <w:rPr>
          <w:smallCaps/>
        </w:rPr>
        <w:t>Murata, H., Fujiyoshi, K., Nakatake, S., and Kajitani, Y.</w:t>
      </w:r>
      <w:r>
        <w:rPr>
          <w:szCs w:val="18"/>
        </w:rPr>
        <w:t xml:space="preserve">  Rectangle-packing-based module placement.  </w:t>
      </w:r>
      <w:r>
        <w:rPr>
          <w:i/>
          <w:iCs/>
        </w:rPr>
        <w:t>IEEE ICCAD</w:t>
      </w:r>
      <w:r>
        <w:rPr>
          <w:szCs w:val="18"/>
        </w:rPr>
        <w:t xml:space="preserve"> </w:t>
      </w:r>
      <w:r>
        <w:rPr>
          <w:i/>
          <w:iCs/>
        </w:rPr>
        <w:t>1995</w:t>
      </w:r>
      <w:r>
        <w:rPr>
          <w:szCs w:val="18"/>
        </w:rPr>
        <w:t>, pp. 472-479.</w:t>
      </w:r>
      <w:bookmarkEnd w:id="45"/>
    </w:p>
    <w:p w:rsidR="00721B98" w:rsidRDefault="00721B98" w:rsidP="00880A85">
      <w:pPr>
        <w:pStyle w:val="References"/>
        <w:tabs>
          <w:tab w:val="left" w:pos="302"/>
        </w:tabs>
        <w:spacing w:after="72"/>
        <w:ind w:left="302" w:hanging="302"/>
      </w:pPr>
      <w:bookmarkStart w:id="46" w:name="_Ref501777745"/>
      <w:r>
        <w:rPr>
          <w:smallCaps/>
        </w:rPr>
        <w:t>Sander, P., Gu, X., Gortler, S., Hoppe, H., and Snyder, J.</w:t>
      </w:r>
      <w:r>
        <w:rPr>
          <w:szCs w:val="18"/>
        </w:rPr>
        <w:t xml:space="preserve">  Si</w:t>
      </w:r>
      <w:r>
        <w:t xml:space="preserve">lhouette clipping.  </w:t>
      </w:r>
      <w:r>
        <w:rPr>
          <w:i/>
          <w:iCs/>
        </w:rPr>
        <w:t>SIGGRAPH 2000</w:t>
      </w:r>
      <w:r>
        <w:rPr>
          <w:szCs w:val="18"/>
        </w:rPr>
        <w:t>, pp. 327-334.</w:t>
      </w:r>
      <w:bookmarkEnd w:id="46"/>
    </w:p>
    <w:p w:rsidR="00721B98" w:rsidRDefault="00721B98" w:rsidP="00880A85">
      <w:pPr>
        <w:pStyle w:val="References"/>
        <w:tabs>
          <w:tab w:val="left" w:pos="302"/>
        </w:tabs>
        <w:spacing w:after="72"/>
        <w:ind w:left="302" w:hanging="302"/>
      </w:pPr>
      <w:bookmarkStart w:id="47" w:name="_Ref513028437"/>
      <w:r>
        <w:rPr>
          <w:smallCaps/>
        </w:rPr>
        <w:t>Sloan, P.-P., Weinstein, D., and Brederson, J.</w:t>
      </w:r>
      <w:r>
        <w:rPr>
          <w:szCs w:val="18"/>
        </w:rPr>
        <w:t xml:space="preserve">  Importance driven te</w:t>
      </w:r>
      <w:r>
        <w:t xml:space="preserve">xture coordinate optimization.  </w:t>
      </w:r>
      <w:r>
        <w:rPr>
          <w:i/>
          <w:iCs/>
        </w:rPr>
        <w:t>Computer Graphics Forum (Pr</w:t>
      </w:r>
      <w:r>
        <w:rPr>
          <w:i/>
          <w:iCs/>
        </w:rPr>
        <w:t>o</w:t>
      </w:r>
      <w:r>
        <w:rPr>
          <w:i/>
          <w:iCs/>
        </w:rPr>
        <w:t>ceedings of Eurographics ’98)</w:t>
      </w:r>
      <w:r>
        <w:rPr>
          <w:szCs w:val="18"/>
        </w:rPr>
        <w:t xml:space="preserve"> 17(3), pp. 97-104.</w:t>
      </w:r>
      <w:bookmarkEnd w:id="47"/>
    </w:p>
    <w:p w:rsidR="00721B98" w:rsidRDefault="00721B98" w:rsidP="00880A85">
      <w:pPr>
        <w:pStyle w:val="References"/>
        <w:tabs>
          <w:tab w:val="left" w:pos="302"/>
        </w:tabs>
        <w:spacing w:after="72"/>
        <w:ind w:left="302" w:hanging="302"/>
      </w:pPr>
      <w:bookmarkStart w:id="48" w:name="_Ref501777748"/>
      <w:bookmarkEnd w:id="29"/>
      <w:r>
        <w:rPr>
          <w:smallCaps/>
        </w:rPr>
        <w:t>Soucy, M., Godin, G., and Rioux, M.</w:t>
      </w:r>
      <w:r>
        <w:rPr>
          <w:szCs w:val="18"/>
        </w:rPr>
        <w:t xml:space="preserve">  A texture-mapping approach for the compres</w:t>
      </w:r>
      <w:r>
        <w:t xml:space="preserve">sion of colored 3D triangulations.  </w:t>
      </w:r>
      <w:r>
        <w:rPr>
          <w:i/>
          <w:iCs/>
        </w:rPr>
        <w:t>The Visual Co</w:t>
      </w:r>
      <w:r>
        <w:rPr>
          <w:i/>
          <w:iCs/>
        </w:rPr>
        <w:t>m</w:t>
      </w:r>
      <w:r>
        <w:rPr>
          <w:i/>
          <w:iCs/>
        </w:rPr>
        <w:t>puter</w:t>
      </w:r>
      <w:r>
        <w:rPr>
          <w:szCs w:val="18"/>
        </w:rPr>
        <w:t xml:space="preserve"> 12, pp. 503-</w:t>
      </w:r>
      <w:r>
        <w:t>514, 1986.</w:t>
      </w:r>
      <w:bookmarkEnd w:id="48"/>
    </w:p>
    <w:bookmarkEnd w:id="30"/>
    <w:bookmarkEnd w:id="31"/>
    <w:bookmarkEnd w:id="32"/>
    <w:bookmarkEnd w:id="33"/>
    <w:p w:rsidR="00721B98" w:rsidRDefault="00721B98">
      <w:pPr>
        <w:sectPr w:rsidR="00721B98">
          <w:headerReference w:type="default" r:id="rId38"/>
          <w:type w:val="continuous"/>
          <w:pgSz w:w="12240" w:h="15840" w:code="1"/>
          <w:pgMar w:top="1080" w:right="1080" w:bottom="1440" w:left="1080" w:header="432" w:footer="720" w:gutter="0"/>
          <w:cols w:num="2" w:space="490"/>
        </w:sectPr>
      </w:pPr>
    </w:p>
    <w:tbl>
      <w:tblPr>
        <w:tblW w:w="5022" w:type="pct"/>
        <w:jc w:val="center"/>
        <w:tblCellMar>
          <w:left w:w="0" w:type="dxa"/>
          <w:right w:w="0" w:type="dxa"/>
        </w:tblCellMar>
        <w:tblLook w:val="0000" w:firstRow="0" w:lastRow="0" w:firstColumn="0" w:lastColumn="0" w:noHBand="0" w:noVBand="0"/>
      </w:tblPr>
      <w:tblGrid>
        <w:gridCol w:w="2531"/>
        <w:gridCol w:w="2531"/>
        <w:gridCol w:w="2531"/>
        <w:gridCol w:w="2531"/>
      </w:tblGrid>
      <w:tr w:rsidR="00721B98">
        <w:trPr>
          <w:jc w:val="center"/>
        </w:trPr>
        <w:tc>
          <w:tcPr>
            <w:tcW w:w="1250" w:type="pct"/>
          </w:tcPr>
          <w:p w:rsidR="00721B98" w:rsidRDefault="0018191B">
            <w:pPr>
              <w:spacing w:after="0"/>
              <w:jc w:val="center"/>
            </w:pPr>
            <w:r>
              <w:rPr>
                <w:noProof/>
              </w:rPr>
              <w:drawing>
                <wp:inline distT="0" distB="0" distL="0" distR="0">
                  <wp:extent cx="1600200" cy="1905000"/>
                  <wp:effectExtent l="0" t="0" r="0" b="0"/>
                  <wp:docPr id="50" name="Picture 50"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1"/>
                          <pic:cNvPicPr>
                            <a:picLocks noChangeAspect="1" noChangeArrowheads="1"/>
                          </pic:cNvPicPr>
                        </pic:nvPicPr>
                        <pic:blipFill>
                          <a:blip r:embed="rId39">
                            <a:extLst>
                              <a:ext uri="{28A0092B-C50C-407E-A947-70E740481C1C}">
                                <a14:useLocalDpi xmlns:a14="http://schemas.microsoft.com/office/drawing/2010/main" val="0"/>
                              </a:ext>
                            </a:extLst>
                          </a:blip>
                          <a:srcRect l="8000" r="8000"/>
                          <a:stretch>
                            <a:fillRect/>
                          </a:stretch>
                        </pic:blipFill>
                        <pic:spPr bwMode="auto">
                          <a:xfrm>
                            <a:off x="0" y="0"/>
                            <a:ext cx="1600200" cy="1905000"/>
                          </a:xfrm>
                          <a:prstGeom prst="rect">
                            <a:avLst/>
                          </a:prstGeom>
                          <a:noFill/>
                          <a:ln>
                            <a:noFill/>
                          </a:ln>
                        </pic:spPr>
                      </pic:pic>
                    </a:graphicData>
                  </a:graphic>
                </wp:inline>
              </w:drawing>
            </w:r>
          </w:p>
        </w:tc>
        <w:tc>
          <w:tcPr>
            <w:tcW w:w="1250" w:type="pct"/>
          </w:tcPr>
          <w:p w:rsidR="00721B98" w:rsidRDefault="0018191B">
            <w:pPr>
              <w:spacing w:after="0"/>
              <w:jc w:val="center"/>
            </w:pPr>
            <w:r>
              <w:rPr>
                <w:noProof/>
              </w:rPr>
              <w:drawing>
                <wp:inline distT="0" distB="0" distL="0" distR="0">
                  <wp:extent cx="1600200" cy="1905000"/>
                  <wp:effectExtent l="0" t="0" r="0" b="0"/>
                  <wp:docPr id="51" name="Picture 51"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1"/>
                          <pic:cNvPicPr>
                            <a:picLocks noChangeAspect="1" noChangeArrowheads="1"/>
                          </pic:cNvPicPr>
                        </pic:nvPicPr>
                        <pic:blipFill>
                          <a:blip r:embed="rId40">
                            <a:extLst>
                              <a:ext uri="{28A0092B-C50C-407E-A947-70E740481C1C}">
                                <a14:useLocalDpi xmlns:a14="http://schemas.microsoft.com/office/drawing/2010/main" val="0"/>
                              </a:ext>
                            </a:extLst>
                          </a:blip>
                          <a:srcRect l="8000" r="8000"/>
                          <a:stretch>
                            <a:fillRect/>
                          </a:stretch>
                        </pic:blipFill>
                        <pic:spPr bwMode="auto">
                          <a:xfrm>
                            <a:off x="0" y="0"/>
                            <a:ext cx="1600200" cy="1905000"/>
                          </a:xfrm>
                          <a:prstGeom prst="rect">
                            <a:avLst/>
                          </a:prstGeom>
                          <a:noFill/>
                          <a:ln>
                            <a:noFill/>
                          </a:ln>
                        </pic:spPr>
                      </pic:pic>
                    </a:graphicData>
                  </a:graphic>
                </wp:inline>
              </w:drawing>
            </w:r>
          </w:p>
        </w:tc>
        <w:tc>
          <w:tcPr>
            <w:tcW w:w="1250" w:type="pct"/>
            <w:vAlign w:val="center"/>
          </w:tcPr>
          <w:p w:rsidR="00721B98" w:rsidRDefault="0018191B" w:rsidP="00A427BD">
            <w:pPr>
              <w:spacing w:after="0"/>
              <w:jc w:val="center"/>
            </w:pPr>
            <w:r>
              <w:rPr>
                <w:noProof/>
              </w:rPr>
              <w:drawing>
                <wp:inline distT="0" distB="0" distL="0" distR="0">
                  <wp:extent cx="1600200" cy="1600200"/>
                  <wp:effectExtent l="0" t="0" r="0" b="0"/>
                  <wp:docPr id="52" name="Picture 52"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c>
          <w:tcPr>
            <w:tcW w:w="1250" w:type="pct"/>
          </w:tcPr>
          <w:p w:rsidR="00721B98" w:rsidRDefault="0018191B">
            <w:pPr>
              <w:spacing w:after="0"/>
              <w:jc w:val="center"/>
            </w:pPr>
            <w:r>
              <w:rPr>
                <w:noProof/>
              </w:rPr>
              <w:drawing>
                <wp:inline distT="0" distB="0" distL="0" distR="0">
                  <wp:extent cx="1600200" cy="1905000"/>
                  <wp:effectExtent l="0" t="0" r="0" b="0"/>
                  <wp:docPr id="53" name="Picture 53"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1"/>
                          <pic:cNvPicPr>
                            <a:picLocks noChangeAspect="1" noChangeArrowheads="1"/>
                          </pic:cNvPicPr>
                        </pic:nvPicPr>
                        <pic:blipFill>
                          <a:blip r:embed="rId42">
                            <a:extLst>
                              <a:ext uri="{28A0092B-C50C-407E-A947-70E740481C1C}">
                                <a14:useLocalDpi xmlns:a14="http://schemas.microsoft.com/office/drawing/2010/main" val="0"/>
                              </a:ext>
                            </a:extLst>
                          </a:blip>
                          <a:srcRect l="8000" r="8000"/>
                          <a:stretch>
                            <a:fillRect/>
                          </a:stretch>
                        </pic:blipFill>
                        <pic:spPr bwMode="auto">
                          <a:xfrm>
                            <a:off x="0" y="0"/>
                            <a:ext cx="1600200" cy="1905000"/>
                          </a:xfrm>
                          <a:prstGeom prst="rect">
                            <a:avLst/>
                          </a:prstGeom>
                          <a:noFill/>
                          <a:ln>
                            <a:noFill/>
                          </a:ln>
                        </pic:spPr>
                      </pic:pic>
                    </a:graphicData>
                  </a:graphic>
                </wp:inline>
              </w:drawing>
            </w:r>
          </w:p>
        </w:tc>
      </w:tr>
      <w:tr w:rsidR="00721B98">
        <w:trPr>
          <w:jc w:val="center"/>
        </w:trPr>
        <w:tc>
          <w:tcPr>
            <w:tcW w:w="1250" w:type="pct"/>
          </w:tcPr>
          <w:p w:rsidR="00721B98" w:rsidRDefault="00721B98" w:rsidP="00A427BD">
            <w:pPr>
              <w:jc w:val="center"/>
            </w:pPr>
            <w:r>
              <w:t>(a) charts on original mesh</w:t>
            </w:r>
            <w:r w:rsidR="003F5C0D">
              <w:t xml:space="preserve"> </w:t>
            </w:r>
            <m:oMath>
              <m:sSup>
                <m:sSupPr>
                  <m:ctrlPr>
                    <w:rPr>
                      <w:rFonts w:ascii="Cambria Math" w:hAnsi="Cambria Math"/>
                      <w:i/>
                    </w:rPr>
                  </m:ctrlPr>
                </m:sSupPr>
                <m:e>
                  <m:r>
                    <w:rPr>
                      <w:rFonts w:ascii="Cambria Math" w:hAnsi="Cambria Math"/>
                    </w:rPr>
                    <m:t>M</m:t>
                  </m:r>
                </m:e>
                <m:sup>
                  <m:r>
                    <w:rPr>
                      <w:rFonts w:ascii="Cambria Math" w:hAnsi="Cambria Math"/>
                    </w:rPr>
                    <m:t>n</m:t>
                  </m:r>
                </m:sup>
              </m:sSup>
            </m:oMath>
          </w:p>
        </w:tc>
        <w:tc>
          <w:tcPr>
            <w:tcW w:w="1250" w:type="pct"/>
          </w:tcPr>
          <w:p w:rsidR="00721B98" w:rsidRDefault="00721B98" w:rsidP="00A427BD">
            <w:pPr>
              <w:jc w:val="center"/>
            </w:pPr>
            <w:r>
              <w:t>(b) base mesh</w:t>
            </w:r>
            <w:r w:rsidR="003F5C0D">
              <w:t xml:space="preserve"> </w:t>
            </w:r>
            <m:oMath>
              <m:sSup>
                <m:sSupPr>
                  <m:ctrlPr>
                    <w:rPr>
                      <w:rFonts w:ascii="Cambria Math" w:hAnsi="Cambria Math"/>
                      <w:i/>
                    </w:rPr>
                  </m:ctrlPr>
                </m:sSupPr>
                <m:e>
                  <m:r>
                    <w:rPr>
                      <w:rFonts w:ascii="Cambria Math" w:hAnsi="Cambria Math"/>
                    </w:rPr>
                    <m:t>M</m:t>
                  </m:r>
                </m:e>
                <m:sup>
                  <m:r>
                    <w:rPr>
                      <w:rFonts w:ascii="Cambria Math" w:hAnsi="Cambria Math"/>
                    </w:rPr>
                    <m:t>0</m:t>
                  </m:r>
                </m:sup>
              </m:sSup>
            </m:oMath>
          </w:p>
        </w:tc>
        <w:tc>
          <w:tcPr>
            <w:tcW w:w="1250" w:type="pct"/>
          </w:tcPr>
          <w:p w:rsidR="00721B98" w:rsidRDefault="00721B98" w:rsidP="00A427BD">
            <w:pPr>
              <w:jc w:val="center"/>
            </w:pPr>
            <w:r>
              <w:t>(c) texture atlas (before pull-push)</w:t>
            </w:r>
          </w:p>
        </w:tc>
        <w:tc>
          <w:tcPr>
            <w:tcW w:w="1250" w:type="pct"/>
          </w:tcPr>
          <w:p w:rsidR="00721B98" w:rsidRDefault="00721B98" w:rsidP="00A427BD">
            <w:pPr>
              <w:jc w:val="center"/>
            </w:pPr>
            <w:r>
              <w:t>(d) textured base mesh</w:t>
            </w:r>
          </w:p>
        </w:tc>
      </w:tr>
      <w:tr w:rsidR="00721B98">
        <w:trPr>
          <w:cantSplit/>
          <w:jc w:val="center"/>
        </w:trPr>
        <w:tc>
          <w:tcPr>
            <w:tcW w:w="5000" w:type="pct"/>
            <w:gridSpan w:val="4"/>
          </w:tcPr>
          <w:p w:rsidR="00721B98" w:rsidRDefault="00721B98" w:rsidP="003F5C0D">
            <w:pPr>
              <w:pStyle w:val="Caption"/>
              <w:spacing w:after="0"/>
              <w:ind w:left="0"/>
              <w:jc w:val="both"/>
            </w:pPr>
            <w:bookmarkStart w:id="49" w:name="_Ref501728282"/>
            <w:r>
              <w:t xml:space="preserve">Figure </w:t>
            </w:r>
            <w:fldSimple w:instr=" SEQ Figure \* ARABIC ">
              <w:r w:rsidR="00FF60D9">
                <w:rPr>
                  <w:noProof/>
                </w:rPr>
                <w:t>4</w:t>
              </w:r>
            </w:fldSimple>
            <w:bookmarkEnd w:id="49"/>
            <w:r>
              <w:t>: Overview of our process.  We partition the original mesh into charts, establish a stretch-minimizing parametrization on each chart, and simplify the mesh while minimizing texture deviation.  With the resulting PM sequence</w:t>
            </w:r>
            <w:r w:rsidR="003F5C0D">
              <w:t xml:space="preserve"> </w:t>
            </w:r>
            <m:oMath>
              <m:sSup>
                <m:sSupPr>
                  <m:ctrlPr>
                    <w:rPr>
                      <w:rFonts w:ascii="Cambria Math" w:hAnsi="Cambria Math"/>
                      <w:i/>
                    </w:rPr>
                  </m:ctrlPr>
                </m:sSupPr>
                <m:e>
                  <m:r>
                    <w:rPr>
                      <w:rFonts w:ascii="Cambria Math" w:hAnsi="Cambria Math"/>
                    </w:rPr>
                    <m:t>M</m:t>
                  </m:r>
                </m:e>
                <m:sup>
                  <m:r>
                    <w:rPr>
                      <w:rFonts w:ascii="Cambria Math" w:hAnsi="Cambria Math"/>
                    </w:rPr>
                    <m:t>0</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n</m:t>
                  </m:r>
                </m:sup>
              </m:sSup>
            </m:oMath>
            <w:r>
              <w:t>, we further optimize the parametriz</w:t>
            </w:r>
            <w:r>
              <w:t>a</w:t>
            </w:r>
            <w:r>
              <w:t>tion to reduce stretch and deviation in all meshes.  Finally, we pack the charts into an atlas, and fill the atlas with texture samples from</w:t>
            </w:r>
            <w:r w:rsidR="003F5C0D">
              <w:t xml:space="preserve"> </w:t>
            </w:r>
            <m:oMath>
              <m:sSup>
                <m:sSupPr>
                  <m:ctrlPr>
                    <w:rPr>
                      <w:rFonts w:ascii="Cambria Math" w:hAnsi="Cambria Math"/>
                      <w:i/>
                    </w:rPr>
                  </m:ctrlPr>
                </m:sSupPr>
                <m:e>
                  <m:r>
                    <w:rPr>
                      <w:rFonts w:ascii="Cambria Math" w:hAnsi="Cambria Math"/>
                    </w:rPr>
                    <m:t>M</m:t>
                  </m:r>
                </m:e>
                <m:sup>
                  <m:r>
                    <w:rPr>
                      <w:rFonts w:ascii="Cambria Math" w:hAnsi="Cambria Math"/>
                    </w:rPr>
                    <m:t>n</m:t>
                  </m:r>
                </m:sup>
              </m:sSup>
            </m:oMath>
            <w:r>
              <w:t>.</w:t>
            </w:r>
          </w:p>
        </w:tc>
      </w:tr>
    </w:tbl>
    <w:p w:rsidR="00721B98" w:rsidRDefault="00721B98"/>
    <w:tbl>
      <w:tblPr>
        <w:tblW w:w="5000" w:type="pct"/>
        <w:jc w:val="center"/>
        <w:tblCellMar>
          <w:left w:w="0" w:type="dxa"/>
          <w:right w:w="0" w:type="dxa"/>
        </w:tblCellMar>
        <w:tblLook w:val="0000" w:firstRow="0" w:lastRow="0" w:firstColumn="0" w:lastColumn="0" w:noHBand="0" w:noVBand="0"/>
      </w:tblPr>
      <w:tblGrid>
        <w:gridCol w:w="2520"/>
        <w:gridCol w:w="2520"/>
        <w:gridCol w:w="2520"/>
        <w:gridCol w:w="2520"/>
      </w:tblGrid>
      <w:tr w:rsidR="00721B98">
        <w:trPr>
          <w:jc w:val="center"/>
        </w:trPr>
        <w:tc>
          <w:tcPr>
            <w:tcW w:w="883" w:type="pct"/>
          </w:tcPr>
          <w:p w:rsidR="00721B98" w:rsidRDefault="0018191B">
            <w:pPr>
              <w:spacing w:after="40"/>
              <w:jc w:val="center"/>
            </w:pPr>
            <w:r>
              <w:rPr>
                <w:noProof/>
              </w:rPr>
              <w:drawing>
                <wp:inline distT="0" distB="0" distL="0" distR="0">
                  <wp:extent cx="1600200" cy="2209800"/>
                  <wp:effectExtent l="0" t="0" r="0" b="0"/>
                  <wp:docPr id="54" name="Picture 54"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0200" cy="2209800"/>
                          </a:xfrm>
                          <a:prstGeom prst="rect">
                            <a:avLst/>
                          </a:prstGeom>
                          <a:noFill/>
                          <a:ln>
                            <a:noFill/>
                          </a:ln>
                        </pic:spPr>
                      </pic:pic>
                    </a:graphicData>
                  </a:graphic>
                </wp:inline>
              </w:drawing>
            </w:r>
          </w:p>
        </w:tc>
        <w:tc>
          <w:tcPr>
            <w:tcW w:w="883" w:type="pct"/>
          </w:tcPr>
          <w:p w:rsidR="00721B98" w:rsidRDefault="0018191B">
            <w:pPr>
              <w:spacing w:after="40"/>
              <w:jc w:val="center"/>
            </w:pPr>
            <w:r>
              <w:rPr>
                <w:noProof/>
              </w:rPr>
              <w:drawing>
                <wp:inline distT="0" distB="0" distL="0" distR="0">
                  <wp:extent cx="1600200" cy="2209800"/>
                  <wp:effectExtent l="0" t="0" r="0" b="0"/>
                  <wp:docPr id="55" name="Picture 55"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0200" cy="2209800"/>
                          </a:xfrm>
                          <a:prstGeom prst="rect">
                            <a:avLst/>
                          </a:prstGeom>
                          <a:noFill/>
                          <a:ln>
                            <a:noFill/>
                          </a:ln>
                        </pic:spPr>
                      </pic:pic>
                    </a:graphicData>
                  </a:graphic>
                </wp:inline>
              </w:drawing>
            </w:r>
          </w:p>
        </w:tc>
        <w:tc>
          <w:tcPr>
            <w:tcW w:w="883" w:type="pct"/>
          </w:tcPr>
          <w:p w:rsidR="00721B98" w:rsidRDefault="0018191B" w:rsidP="00A427BD">
            <w:pPr>
              <w:spacing w:after="40"/>
              <w:jc w:val="center"/>
            </w:pPr>
            <w:r>
              <w:rPr>
                <w:noProof/>
              </w:rPr>
              <w:drawing>
                <wp:inline distT="0" distB="0" distL="0" distR="0">
                  <wp:extent cx="1600200" cy="2209800"/>
                  <wp:effectExtent l="0" t="0" r="0" b="0"/>
                  <wp:docPr id="56" name="Picture 56"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0200" cy="2209800"/>
                          </a:xfrm>
                          <a:prstGeom prst="rect">
                            <a:avLst/>
                          </a:prstGeom>
                          <a:noFill/>
                          <a:ln>
                            <a:noFill/>
                          </a:ln>
                        </pic:spPr>
                      </pic:pic>
                    </a:graphicData>
                  </a:graphic>
                </wp:inline>
              </w:drawing>
            </w:r>
          </w:p>
        </w:tc>
        <w:tc>
          <w:tcPr>
            <w:tcW w:w="883" w:type="pct"/>
          </w:tcPr>
          <w:p w:rsidR="00721B98" w:rsidRDefault="0018191B">
            <w:pPr>
              <w:spacing w:after="40"/>
              <w:jc w:val="center"/>
            </w:pPr>
            <w:r>
              <w:rPr>
                <w:noProof/>
              </w:rPr>
              <w:drawing>
                <wp:inline distT="0" distB="0" distL="0" distR="0">
                  <wp:extent cx="1600200" cy="2209800"/>
                  <wp:effectExtent l="0" t="0" r="0" b="0"/>
                  <wp:docPr id="57" name="Picture 57"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0200" cy="2209800"/>
                          </a:xfrm>
                          <a:prstGeom prst="rect">
                            <a:avLst/>
                          </a:prstGeom>
                          <a:noFill/>
                          <a:ln>
                            <a:noFill/>
                          </a:ln>
                        </pic:spPr>
                      </pic:pic>
                    </a:graphicData>
                  </a:graphic>
                </wp:inline>
              </w:drawing>
            </w:r>
          </w:p>
        </w:tc>
      </w:tr>
      <w:tr w:rsidR="00721B98">
        <w:trPr>
          <w:jc w:val="center"/>
        </w:trPr>
        <w:tc>
          <w:tcPr>
            <w:tcW w:w="883" w:type="pct"/>
          </w:tcPr>
          <w:p w:rsidR="00721B98" w:rsidRDefault="00721B98" w:rsidP="00A427BD">
            <w:pPr>
              <w:jc w:val="center"/>
            </w:pPr>
            <w:r>
              <w:t xml:space="preserve">(a) </w:t>
            </w:r>
            <m:oMath>
              <m:sSup>
                <m:sSupPr>
                  <m:ctrlPr>
                    <w:rPr>
                      <w:rFonts w:ascii="Cambria Math" w:hAnsi="Cambria Math"/>
                      <w:i/>
                    </w:rPr>
                  </m:ctrlPr>
                </m:sSupPr>
                <m:e>
                  <m:r>
                    <w:rPr>
                      <w:rFonts w:ascii="Cambria Math" w:hAnsi="Cambria Math"/>
                    </w:rPr>
                    <m:t>M</m:t>
                  </m:r>
                </m:e>
                <m:sup>
                  <m:r>
                    <w:rPr>
                      <w:rFonts w:ascii="Cambria Math" w:hAnsi="Cambria Math"/>
                    </w:rPr>
                    <m:t>0</m:t>
                  </m:r>
                </m:sup>
              </m:sSup>
            </m:oMath>
            <w:r w:rsidR="003F5C0D">
              <w:t xml:space="preserve"> </w:t>
            </w:r>
            <w:r>
              <w:t>(470 faces)</w:t>
            </w:r>
          </w:p>
        </w:tc>
        <w:tc>
          <w:tcPr>
            <w:tcW w:w="883" w:type="pct"/>
          </w:tcPr>
          <w:p w:rsidR="00721B98" w:rsidRDefault="00721B98" w:rsidP="00A427BD">
            <w:pPr>
              <w:jc w:val="center"/>
            </w:pPr>
            <w:r>
              <w:t>(b)</w:t>
            </w:r>
            <w:r w:rsidR="003F5C0D">
              <w:t xml:space="preserve"> </w:t>
            </w:r>
            <m:oMath>
              <m:sSup>
                <m:sSupPr>
                  <m:ctrlPr>
                    <w:rPr>
                      <w:rFonts w:ascii="Cambria Math" w:hAnsi="Cambria Math"/>
                      <w:i/>
                    </w:rPr>
                  </m:ctrlPr>
                </m:sSupPr>
                <m:e>
                  <m:r>
                    <w:rPr>
                      <w:rFonts w:ascii="Cambria Math" w:hAnsi="Cambria Math"/>
                    </w:rPr>
                    <m:t>M</m:t>
                  </m:r>
                </m:e>
                <m:sup>
                  <m:r>
                    <w:rPr>
                      <w:rFonts w:ascii="Cambria Math" w:hAnsi="Cambria Math"/>
                    </w:rPr>
                    <m:t>115</m:t>
                  </m:r>
                </m:sup>
              </m:sSup>
            </m:oMath>
            <w:r>
              <w:t xml:space="preserve"> (700 faces)</w:t>
            </w:r>
          </w:p>
        </w:tc>
        <w:tc>
          <w:tcPr>
            <w:tcW w:w="883" w:type="pct"/>
          </w:tcPr>
          <w:p w:rsidR="00721B98" w:rsidRDefault="00721B98" w:rsidP="00A427BD">
            <w:pPr>
              <w:jc w:val="center"/>
            </w:pPr>
            <w:r>
              <w:t>(c)</w:t>
            </w:r>
            <w:r w:rsidR="003F5C0D">
              <w:t xml:space="preserve"> </w:t>
            </w:r>
            <m:oMath>
              <m:sSup>
                <m:sSupPr>
                  <m:ctrlPr>
                    <w:rPr>
                      <w:rFonts w:ascii="Cambria Math" w:hAnsi="Cambria Math"/>
                      <w:i/>
                    </w:rPr>
                  </m:ctrlPr>
                </m:sSupPr>
                <m:e>
                  <m:r>
                    <w:rPr>
                      <w:rFonts w:ascii="Cambria Math" w:hAnsi="Cambria Math"/>
                    </w:rPr>
                    <m:t>M</m:t>
                  </m:r>
                </m:e>
                <m:sup>
                  <m:r>
                    <w:rPr>
                      <w:rFonts w:ascii="Cambria Math" w:hAnsi="Cambria Math"/>
                    </w:rPr>
                    <m:t>365</m:t>
                  </m:r>
                </m:sup>
              </m:sSup>
            </m:oMath>
            <w:r>
              <w:t xml:space="preserve"> (1,200 faces)</w:t>
            </w:r>
          </w:p>
        </w:tc>
        <w:tc>
          <w:tcPr>
            <w:tcW w:w="883" w:type="pct"/>
          </w:tcPr>
          <w:p w:rsidR="00721B98" w:rsidRDefault="00721B98" w:rsidP="00A427BD">
            <w:pPr>
              <w:jc w:val="center"/>
            </w:pPr>
            <w:r>
              <w:t>(d)</w:t>
            </w:r>
            <w:r w:rsidR="003F5C0D">
              <w:t xml:space="preserve"> </w:t>
            </w:r>
            <m:oMath>
              <m:sSup>
                <m:sSupPr>
                  <m:ctrlPr>
                    <w:rPr>
                      <w:rFonts w:ascii="Cambria Math" w:hAnsi="Cambria Math"/>
                      <w:i/>
                    </w:rPr>
                  </m:ctrlPr>
                </m:sSupPr>
                <m:e>
                  <m:r>
                    <w:rPr>
                      <w:rFonts w:ascii="Cambria Math" w:hAnsi="Cambria Math"/>
                    </w:rPr>
                    <m:t>M</m:t>
                  </m:r>
                </m:e>
                <m:sup>
                  <m:r>
                    <w:rPr>
                      <w:rFonts w:ascii="Cambria Math" w:hAnsi="Cambria Math"/>
                    </w:rPr>
                    <m:t>4765</m:t>
                  </m:r>
                </m:sup>
              </m:sSup>
            </m:oMath>
            <w:r>
              <w:t xml:space="preserve"> (10,000 faces)</w:t>
            </w:r>
          </w:p>
        </w:tc>
      </w:tr>
      <w:tr w:rsidR="00721B98">
        <w:trPr>
          <w:cantSplit/>
          <w:jc w:val="center"/>
        </w:trPr>
        <w:tc>
          <w:tcPr>
            <w:tcW w:w="5000" w:type="pct"/>
            <w:gridSpan w:val="4"/>
          </w:tcPr>
          <w:p w:rsidR="00721B98" w:rsidRDefault="00721B98">
            <w:pPr>
              <w:pStyle w:val="Caption"/>
              <w:spacing w:after="0"/>
              <w:ind w:left="0"/>
            </w:pPr>
            <w:bookmarkStart w:id="50" w:name="_Ref501881827"/>
            <w:r>
              <w:t xml:space="preserve">Figure </w:t>
            </w:r>
            <w:fldSimple w:instr=" SEQ Figure \* ARABIC ">
              <w:r w:rsidR="00FF60D9">
                <w:rPr>
                  <w:noProof/>
                </w:rPr>
                <w:t>5</w:t>
              </w:r>
            </w:fldSimple>
            <w:bookmarkEnd w:id="50"/>
            <w:r>
              <w:t>: Textured mesh approximations in a PM sequence.  All meshes refer to the same 512x512 texture atlas.</w:t>
            </w:r>
          </w:p>
        </w:tc>
      </w:tr>
    </w:tbl>
    <w:p w:rsidR="00721B98" w:rsidRDefault="00721B98"/>
    <w:tbl>
      <w:tblPr>
        <w:tblW w:w="5000" w:type="pct"/>
        <w:jc w:val="center"/>
        <w:tblCellMar>
          <w:left w:w="0" w:type="dxa"/>
          <w:right w:w="0" w:type="dxa"/>
        </w:tblCellMar>
        <w:tblLook w:val="0000" w:firstRow="0" w:lastRow="0" w:firstColumn="0" w:lastColumn="0" w:noHBand="0" w:noVBand="0"/>
      </w:tblPr>
      <w:tblGrid>
        <w:gridCol w:w="2529"/>
        <w:gridCol w:w="2489"/>
        <w:gridCol w:w="2530"/>
        <w:gridCol w:w="2532"/>
      </w:tblGrid>
      <w:tr w:rsidR="00721B98">
        <w:trPr>
          <w:jc w:val="center"/>
        </w:trPr>
        <w:tc>
          <w:tcPr>
            <w:tcW w:w="1255" w:type="pct"/>
          </w:tcPr>
          <w:p w:rsidR="00721B98" w:rsidRDefault="0018191B">
            <w:pPr>
              <w:spacing w:after="0"/>
              <w:jc w:val="center"/>
            </w:pPr>
            <w:r>
              <w:rPr>
                <w:noProof/>
              </w:rPr>
              <w:drawing>
                <wp:inline distT="0" distB="0" distL="0" distR="0">
                  <wp:extent cx="1551940" cy="2016125"/>
                  <wp:effectExtent l="0" t="0" r="0" b="0"/>
                  <wp:docPr id="58" name="Picture 58"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1"/>
                          <pic:cNvPicPr>
                            <a:picLocks noChangeAspect="1" noChangeArrowheads="1"/>
                          </pic:cNvPicPr>
                        </pic:nvPicPr>
                        <pic:blipFill>
                          <a:blip r:embed="rId47">
                            <a:extLst>
                              <a:ext uri="{28A0092B-C50C-407E-A947-70E740481C1C}">
                                <a14:useLocalDpi xmlns:a14="http://schemas.microsoft.com/office/drawing/2010/main" val="0"/>
                              </a:ext>
                            </a:extLst>
                          </a:blip>
                          <a:srcRect l="11520" r="11520"/>
                          <a:stretch>
                            <a:fillRect/>
                          </a:stretch>
                        </pic:blipFill>
                        <pic:spPr bwMode="auto">
                          <a:xfrm>
                            <a:off x="0" y="0"/>
                            <a:ext cx="1551940" cy="2016125"/>
                          </a:xfrm>
                          <a:prstGeom prst="rect">
                            <a:avLst/>
                          </a:prstGeom>
                          <a:noFill/>
                          <a:ln>
                            <a:noFill/>
                          </a:ln>
                        </pic:spPr>
                      </pic:pic>
                    </a:graphicData>
                  </a:graphic>
                </wp:inline>
              </w:drawing>
            </w:r>
          </w:p>
        </w:tc>
        <w:tc>
          <w:tcPr>
            <w:tcW w:w="1234" w:type="pct"/>
          </w:tcPr>
          <w:p w:rsidR="00721B98" w:rsidRDefault="00721B98">
            <w:pPr>
              <w:spacing w:after="0"/>
              <w:jc w:val="center"/>
            </w:pPr>
            <w:r>
              <w:t> </w:t>
            </w:r>
            <w:r w:rsidR="0018191B">
              <w:rPr>
                <w:noProof/>
              </w:rPr>
              <w:drawing>
                <wp:inline distT="0" distB="0" distL="0" distR="0">
                  <wp:extent cx="1551940" cy="2016125"/>
                  <wp:effectExtent l="0" t="0" r="0" b="0"/>
                  <wp:docPr id="59" name="Picture 59"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1"/>
                          <pic:cNvPicPr>
                            <a:picLocks noChangeAspect="1" noChangeArrowheads="1"/>
                          </pic:cNvPicPr>
                        </pic:nvPicPr>
                        <pic:blipFill>
                          <a:blip r:embed="rId48">
                            <a:extLst>
                              <a:ext uri="{28A0092B-C50C-407E-A947-70E740481C1C}">
                                <a14:useLocalDpi xmlns:a14="http://schemas.microsoft.com/office/drawing/2010/main" val="0"/>
                              </a:ext>
                            </a:extLst>
                          </a:blip>
                          <a:srcRect l="11520" r="11520"/>
                          <a:stretch>
                            <a:fillRect/>
                          </a:stretch>
                        </pic:blipFill>
                        <pic:spPr bwMode="auto">
                          <a:xfrm>
                            <a:off x="0" y="0"/>
                            <a:ext cx="1551940" cy="2016125"/>
                          </a:xfrm>
                          <a:prstGeom prst="rect">
                            <a:avLst/>
                          </a:prstGeom>
                          <a:noFill/>
                          <a:ln>
                            <a:noFill/>
                          </a:ln>
                        </pic:spPr>
                      </pic:pic>
                    </a:graphicData>
                  </a:graphic>
                </wp:inline>
              </w:drawing>
            </w:r>
          </w:p>
        </w:tc>
        <w:tc>
          <w:tcPr>
            <w:tcW w:w="1255" w:type="pct"/>
          </w:tcPr>
          <w:p w:rsidR="00721B98" w:rsidRDefault="00721B98">
            <w:pPr>
              <w:spacing w:after="0"/>
              <w:jc w:val="center"/>
            </w:pPr>
            <w:r>
              <w:t> </w:t>
            </w:r>
            <w:r w:rsidR="0018191B">
              <w:rPr>
                <w:noProof/>
              </w:rPr>
              <w:drawing>
                <wp:inline distT="0" distB="0" distL="0" distR="0">
                  <wp:extent cx="1551940" cy="2016125"/>
                  <wp:effectExtent l="0" t="0" r="0" b="0"/>
                  <wp:docPr id="60" name="Picture 60"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1"/>
                          <pic:cNvPicPr>
                            <a:picLocks noChangeAspect="1" noChangeArrowheads="1"/>
                          </pic:cNvPicPr>
                        </pic:nvPicPr>
                        <pic:blipFill>
                          <a:blip r:embed="rId49">
                            <a:extLst>
                              <a:ext uri="{28A0092B-C50C-407E-A947-70E740481C1C}">
                                <a14:useLocalDpi xmlns:a14="http://schemas.microsoft.com/office/drawing/2010/main" val="0"/>
                              </a:ext>
                            </a:extLst>
                          </a:blip>
                          <a:srcRect l="11520" r="11520"/>
                          <a:stretch>
                            <a:fillRect/>
                          </a:stretch>
                        </pic:blipFill>
                        <pic:spPr bwMode="auto">
                          <a:xfrm>
                            <a:off x="0" y="0"/>
                            <a:ext cx="1551940" cy="2016125"/>
                          </a:xfrm>
                          <a:prstGeom prst="rect">
                            <a:avLst/>
                          </a:prstGeom>
                          <a:noFill/>
                          <a:ln>
                            <a:noFill/>
                          </a:ln>
                        </pic:spPr>
                      </pic:pic>
                    </a:graphicData>
                  </a:graphic>
                </wp:inline>
              </w:drawing>
            </w:r>
          </w:p>
        </w:tc>
        <w:tc>
          <w:tcPr>
            <w:tcW w:w="1255" w:type="pct"/>
          </w:tcPr>
          <w:p w:rsidR="00721B98" w:rsidRDefault="0018191B">
            <w:pPr>
              <w:spacing w:after="0"/>
              <w:jc w:val="center"/>
            </w:pPr>
            <w:r>
              <w:rPr>
                <w:noProof/>
              </w:rPr>
              <w:drawing>
                <wp:inline distT="0" distB="0" distL="0" distR="0">
                  <wp:extent cx="1551940" cy="2016125"/>
                  <wp:effectExtent l="0" t="0" r="0" b="0"/>
                  <wp:docPr id="61" name="Picture 61" desc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1"/>
                          <pic:cNvPicPr>
                            <a:picLocks noChangeAspect="1" noChangeArrowheads="1"/>
                          </pic:cNvPicPr>
                        </pic:nvPicPr>
                        <pic:blipFill>
                          <a:blip r:embed="rId50">
                            <a:extLst>
                              <a:ext uri="{28A0092B-C50C-407E-A947-70E740481C1C}">
                                <a14:useLocalDpi xmlns:a14="http://schemas.microsoft.com/office/drawing/2010/main" val="0"/>
                              </a:ext>
                            </a:extLst>
                          </a:blip>
                          <a:srcRect l="11520" r="11520"/>
                          <a:stretch>
                            <a:fillRect/>
                          </a:stretch>
                        </pic:blipFill>
                        <pic:spPr bwMode="auto">
                          <a:xfrm>
                            <a:off x="0" y="0"/>
                            <a:ext cx="1551940" cy="2016125"/>
                          </a:xfrm>
                          <a:prstGeom prst="rect">
                            <a:avLst/>
                          </a:prstGeom>
                          <a:noFill/>
                          <a:ln>
                            <a:noFill/>
                          </a:ln>
                        </pic:spPr>
                      </pic:pic>
                    </a:graphicData>
                  </a:graphic>
                </wp:inline>
              </w:drawing>
            </w:r>
          </w:p>
        </w:tc>
      </w:tr>
      <w:tr w:rsidR="00721B98">
        <w:trPr>
          <w:jc w:val="center"/>
        </w:trPr>
        <w:tc>
          <w:tcPr>
            <w:tcW w:w="1255" w:type="pct"/>
          </w:tcPr>
          <w:p w:rsidR="00721B98" w:rsidRDefault="00721B98" w:rsidP="00A427BD">
            <w:pPr>
              <w:spacing w:after="0"/>
              <w:jc w:val="center"/>
            </w:pPr>
            <w:r>
              <w:t>sampled normal map</w:t>
            </w:r>
          </w:p>
        </w:tc>
        <w:tc>
          <w:tcPr>
            <w:tcW w:w="1234" w:type="pct"/>
          </w:tcPr>
          <w:p w:rsidR="00721B98" w:rsidRDefault="00721B98" w:rsidP="00A427BD">
            <w:pPr>
              <w:spacing w:after="0"/>
              <w:jc w:val="center"/>
            </w:pPr>
            <w:r>
              <w:t>hex grid in 2D texture domain</w:t>
            </w:r>
          </w:p>
        </w:tc>
        <w:tc>
          <w:tcPr>
            <w:tcW w:w="1255" w:type="pct"/>
          </w:tcPr>
          <w:p w:rsidR="00721B98" w:rsidRDefault="00721B98" w:rsidP="00A427BD">
            <w:pPr>
              <w:spacing w:after="0"/>
              <w:jc w:val="center"/>
            </w:pPr>
            <w:r>
              <w:t>sampled normal map</w:t>
            </w:r>
          </w:p>
        </w:tc>
        <w:tc>
          <w:tcPr>
            <w:tcW w:w="1255" w:type="pct"/>
          </w:tcPr>
          <w:p w:rsidR="00721B98" w:rsidRDefault="00721B98" w:rsidP="00A427BD">
            <w:pPr>
              <w:spacing w:after="0"/>
              <w:jc w:val="center"/>
            </w:pPr>
            <w:r>
              <w:t>hex grid in 2D texture domain</w:t>
            </w:r>
          </w:p>
        </w:tc>
      </w:tr>
      <w:tr w:rsidR="00721B98">
        <w:trPr>
          <w:cantSplit/>
          <w:jc w:val="center"/>
        </w:trPr>
        <w:tc>
          <w:tcPr>
            <w:tcW w:w="2489" w:type="pct"/>
            <w:gridSpan w:val="2"/>
          </w:tcPr>
          <w:p w:rsidR="00721B98" w:rsidRDefault="00721B98">
            <w:pPr>
              <w:spacing w:before="40" w:after="40"/>
              <w:jc w:val="center"/>
            </w:pPr>
            <w:r>
              <w:t>(a) ignoring stretch</w:t>
            </w:r>
          </w:p>
        </w:tc>
        <w:tc>
          <w:tcPr>
            <w:tcW w:w="2511" w:type="pct"/>
            <w:gridSpan w:val="2"/>
          </w:tcPr>
          <w:p w:rsidR="00721B98" w:rsidRDefault="00721B98">
            <w:pPr>
              <w:spacing w:before="40" w:after="40"/>
              <w:jc w:val="center"/>
            </w:pPr>
            <w:r>
              <w:t>(b) using our scheme</w:t>
            </w:r>
          </w:p>
        </w:tc>
      </w:tr>
      <w:tr w:rsidR="00721B98">
        <w:trPr>
          <w:cantSplit/>
          <w:jc w:val="center"/>
        </w:trPr>
        <w:tc>
          <w:tcPr>
            <w:tcW w:w="5000" w:type="pct"/>
            <w:gridSpan w:val="4"/>
          </w:tcPr>
          <w:p w:rsidR="00721B98" w:rsidRDefault="00721B98">
            <w:pPr>
              <w:pStyle w:val="Caption"/>
              <w:spacing w:after="0"/>
              <w:ind w:left="0"/>
              <w:jc w:val="both"/>
            </w:pPr>
            <w:bookmarkStart w:id="51" w:name="_Ref501727242"/>
            <w:r>
              <w:t xml:space="preserve">Figure </w:t>
            </w:r>
            <w:fldSimple w:instr=" SEQ Figure \* ARABIC ">
              <w:r w:rsidR="00FF60D9">
                <w:rPr>
                  <w:noProof/>
                </w:rPr>
                <w:t>6</w:t>
              </w:r>
            </w:fldSimple>
            <w:bookmarkEnd w:id="51"/>
            <w:r>
              <w:t>: Texture stretch illustrated using both a sampled normal map and a uniform honeycomb pattern overlaid in the 2D texture image.  (a) Charts are parametrized using uniform edge weights and scaled by surface area.  (b) Our scheme considers texture stretch when both parametrizing and scaling the charts.  In (a), note the loss of fine detail in regions with stretched honeycomb pattern (e.g. fingers and toes).</w:t>
            </w:r>
          </w:p>
        </w:tc>
      </w:tr>
    </w:tbl>
    <w:p w:rsidR="00721B98" w:rsidRDefault="00721B98"/>
    <w:sectPr w:rsidR="00721B98">
      <w:headerReference w:type="default" r:id="rId51"/>
      <w:pgSz w:w="12240" w:h="15840" w:code="1"/>
      <w:pgMar w:top="1080" w:right="1080" w:bottom="1440" w:left="1080" w:header="432" w:footer="720" w:gutter="0"/>
      <w:cols w:space="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E0B" w:rsidRDefault="00B15E0B">
      <w:pPr>
        <w:spacing w:after="0"/>
      </w:pPr>
      <w:r>
        <w:separator/>
      </w:r>
    </w:p>
  </w:endnote>
  <w:endnote w:type="continuationSeparator" w:id="0">
    <w:p w:rsidR="00B15E0B" w:rsidRDefault="00B15E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EFD" w:rsidRDefault="00863EFD">
    <w:pPr>
      <w:pStyle w:val="Header"/>
      <w:tabs>
        <w:tab w:val="clear" w:pos="4320"/>
        <w:tab w:val="clear" w:pos="8640"/>
        <w:tab w:val="right" w:pos="10080"/>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E0B" w:rsidRDefault="00B15E0B">
      <w:pPr>
        <w:spacing w:after="0"/>
      </w:pPr>
      <w:r>
        <w:separator/>
      </w:r>
    </w:p>
  </w:footnote>
  <w:footnote w:type="continuationSeparator" w:id="0">
    <w:p w:rsidR="00B15E0B" w:rsidRDefault="00B15E0B">
      <w:pPr>
        <w:spacing w:after="0"/>
      </w:pPr>
      <w:r>
        <w:continuationSeparator/>
      </w:r>
    </w:p>
  </w:footnote>
  <w:footnote w:id="1">
    <w:p w:rsidR="00863EFD" w:rsidRDefault="00863EFD">
      <w:pPr>
        <w:pStyle w:val="FootnoteText"/>
      </w:pPr>
      <w:r>
        <w:rPr>
          <w:rStyle w:val="FootnoteReference"/>
        </w:rPr>
        <w:footnoteRef/>
      </w:r>
      <w:r>
        <w:t xml:space="preserve"> The harmonic map </w:t>
      </w:r>
      <w:r>
        <w:fldChar w:fldCharType="begin"/>
      </w:r>
      <w:r>
        <w:instrText xml:space="preserve"> REF _Ref501778256 \r \h </w:instrText>
      </w:r>
      <w:r>
        <w:fldChar w:fldCharType="separate"/>
      </w:r>
      <w:r>
        <w:t>[4]</w:t>
      </w:r>
      <w:r>
        <w:fldChar w:fldCharType="end"/>
      </w:r>
      <w:r>
        <w:t xml:space="preserve">, not shown, is qualitatively similar to Floater </w:t>
      </w:r>
      <w:r>
        <w:fldChar w:fldCharType="begin"/>
      </w:r>
      <w:r>
        <w:instrText xml:space="preserve"> REF _Ref501788518 \r \h </w:instrText>
      </w:r>
      <w:r>
        <w:fldChar w:fldCharType="separate"/>
      </w:r>
      <w:r>
        <w:t>[5]</w:t>
      </w:r>
      <w:r>
        <w:fldChar w:fldCharType="end"/>
      </w:r>
      <w:r>
        <w:t xml:space="preserve"> and has slightly worse stretch, </w:t>
      </w:r>
      <m:oMath>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=2.28</m:t>
        </m:r>
      </m:oMath>
      <w:r>
        <w:t xml:space="preserve">, </w:t>
      </w:r>
      <m:oMath>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=10.07</m:t>
        </m:r>
      </m:oMath>
      <w:r>
        <w:t>.</w:t>
      </w:r>
    </w:p>
  </w:footnote>
  <w:footnote w:id="2">
    <w:p w:rsidR="00863EFD" w:rsidRDefault="00863EFD">
      <w:pPr>
        <w:pStyle w:val="FootnoteText"/>
      </w:pPr>
      <w:r>
        <w:rPr>
          <w:rStyle w:val="FootnoteReference"/>
        </w:rPr>
        <w:footnoteRef/>
      </w:r>
      <w:r>
        <w:t xml:space="preserve"> For the Maillot result (</w:t>
      </w:r>
      <w:r>
        <w:fldChar w:fldCharType="begin"/>
      </w:r>
      <w:r>
        <w:instrText xml:space="preserve"> REF _Ref503245882 \h  \* MERGEFORMAT </w:instrText>
      </w:r>
      <w:r>
        <w:fldChar w:fldCharType="separate"/>
      </w:r>
      <w:r>
        <w:t xml:space="preserve">Figure </w:t>
      </w:r>
      <w:r>
        <w:rPr>
          <w:noProof/>
        </w:rPr>
        <w:t>1</w:t>
      </w:r>
      <w:r>
        <w:fldChar w:fldCharType="end"/>
      </w:r>
      <w:r>
        <w:t xml:space="preserve">d), we set the factor </w:t>
      </w:r>
      <m:oMath>
        <m:r>
          <w:rPr>
            <w:rFonts w:ascii="Cambria Math" w:hAnsi="Cambria Math"/>
          </w:rPr>
          <m:t>α</m:t>
        </m:r>
      </m:oMath>
      <w:r>
        <w:t xml:space="preserve"> weighting between edge-springs and area-preservation to 0.5</w:t>
      </w:r>
      <w:r>
        <w:rPr>
          <w:rFonts w:ascii="Symbol" w:hAnsi="Symbol"/>
        </w:rPr>
        <w:t></w:t>
      </w:r>
      <w:r>
        <w:rPr>
          <w:rFonts w:ascii="Symbol" w:hAnsi="Symbol"/>
        </w:rPr>
        <w:t></w:t>
      </w:r>
      <w:r>
        <w:rPr>
          <w:rFonts w:ascii="Symbol" w:hAnsi="Symbol"/>
        </w:rPr>
        <w:t></w:t>
      </w:r>
      <w:r>
        <w:t>Since the relative scale of 2D to 3D edge lengths is important in this metric, we uniformly scale the 2D domain to have the same area as the 3D chart.  Our reported stretch norms are infinite because the minimum solution exhibits buckling.  Since our optimization method prevents face flipping, the result is pa</w:t>
      </w:r>
      <w:r>
        <w:t>r</w:t>
      </w:r>
      <w:r>
        <w:t>ametrically degenerate triangles having infinite stretch.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EFD" w:rsidRDefault="00863EFD">
    <w:pPr>
      <w:pStyle w:val="Header"/>
      <w:tabs>
        <w:tab w:val="clear" w:pos="4320"/>
        <w:tab w:val="clear" w:pos="8640"/>
        <w:tab w:val="right" w:pos="10080"/>
      </w:tabs>
      <w:jc w:val="right"/>
      <w:rPr>
        <w:vanis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EFD" w:rsidRDefault="00863E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22CB8E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B"/>
    <w:multiLevelType w:val="multilevel"/>
    <w:tmpl w:val="C7F2087C"/>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nsid w:val="5AF22D8A"/>
    <w:multiLevelType w:val="hybridMultilevel"/>
    <w:tmpl w:val="8C6EE594"/>
    <w:lvl w:ilvl="0" w:tplc="3AF4F0F8">
      <w:start w:val="1"/>
      <w:numFmt w:val="bullet"/>
      <w:pStyle w:val="Bullet"/>
      <w:lvlText w:val=""/>
      <w:lvlJc w:val="left"/>
      <w:pPr>
        <w:tabs>
          <w:tab w:val="num" w:pos="360"/>
        </w:tabs>
        <w:ind w:left="144" w:hanging="144"/>
      </w:pPr>
      <w:rPr>
        <w:rFonts w:ascii="Symbol" w:hAnsi="Symbol" w:hint="default"/>
        <w:color w:val="auto"/>
      </w:rPr>
    </w:lvl>
    <w:lvl w:ilvl="1" w:tplc="0C5A5C28" w:tentative="1">
      <w:start w:val="1"/>
      <w:numFmt w:val="bullet"/>
      <w:lvlText w:val="o"/>
      <w:lvlJc w:val="left"/>
      <w:pPr>
        <w:tabs>
          <w:tab w:val="num" w:pos="1440"/>
        </w:tabs>
        <w:ind w:left="1440" w:hanging="360"/>
      </w:pPr>
      <w:rPr>
        <w:rFonts w:ascii="Courier New" w:hAnsi="Courier New" w:hint="default"/>
      </w:rPr>
    </w:lvl>
    <w:lvl w:ilvl="2" w:tplc="C580409E" w:tentative="1">
      <w:start w:val="1"/>
      <w:numFmt w:val="bullet"/>
      <w:lvlText w:val=""/>
      <w:lvlJc w:val="left"/>
      <w:pPr>
        <w:tabs>
          <w:tab w:val="num" w:pos="2160"/>
        </w:tabs>
        <w:ind w:left="2160" w:hanging="360"/>
      </w:pPr>
      <w:rPr>
        <w:rFonts w:ascii="Wingdings" w:hAnsi="Wingdings" w:hint="default"/>
      </w:rPr>
    </w:lvl>
    <w:lvl w:ilvl="3" w:tplc="4FE095E8" w:tentative="1">
      <w:start w:val="1"/>
      <w:numFmt w:val="bullet"/>
      <w:lvlText w:val=""/>
      <w:lvlJc w:val="left"/>
      <w:pPr>
        <w:tabs>
          <w:tab w:val="num" w:pos="2880"/>
        </w:tabs>
        <w:ind w:left="2880" w:hanging="360"/>
      </w:pPr>
      <w:rPr>
        <w:rFonts w:ascii="Symbol" w:hAnsi="Symbol" w:hint="default"/>
      </w:rPr>
    </w:lvl>
    <w:lvl w:ilvl="4" w:tplc="526A2810" w:tentative="1">
      <w:start w:val="1"/>
      <w:numFmt w:val="bullet"/>
      <w:lvlText w:val="o"/>
      <w:lvlJc w:val="left"/>
      <w:pPr>
        <w:tabs>
          <w:tab w:val="num" w:pos="3600"/>
        </w:tabs>
        <w:ind w:left="3600" w:hanging="360"/>
      </w:pPr>
      <w:rPr>
        <w:rFonts w:ascii="Courier New" w:hAnsi="Courier New" w:hint="default"/>
      </w:rPr>
    </w:lvl>
    <w:lvl w:ilvl="5" w:tplc="383470A0" w:tentative="1">
      <w:start w:val="1"/>
      <w:numFmt w:val="bullet"/>
      <w:lvlText w:val=""/>
      <w:lvlJc w:val="left"/>
      <w:pPr>
        <w:tabs>
          <w:tab w:val="num" w:pos="4320"/>
        </w:tabs>
        <w:ind w:left="4320" w:hanging="360"/>
      </w:pPr>
      <w:rPr>
        <w:rFonts w:ascii="Wingdings" w:hAnsi="Wingdings" w:hint="default"/>
      </w:rPr>
    </w:lvl>
    <w:lvl w:ilvl="6" w:tplc="0A246626" w:tentative="1">
      <w:start w:val="1"/>
      <w:numFmt w:val="bullet"/>
      <w:lvlText w:val=""/>
      <w:lvlJc w:val="left"/>
      <w:pPr>
        <w:tabs>
          <w:tab w:val="num" w:pos="5040"/>
        </w:tabs>
        <w:ind w:left="5040" w:hanging="360"/>
      </w:pPr>
      <w:rPr>
        <w:rFonts w:ascii="Symbol" w:hAnsi="Symbol" w:hint="default"/>
      </w:rPr>
    </w:lvl>
    <w:lvl w:ilvl="7" w:tplc="5D922610" w:tentative="1">
      <w:start w:val="1"/>
      <w:numFmt w:val="bullet"/>
      <w:lvlText w:val="o"/>
      <w:lvlJc w:val="left"/>
      <w:pPr>
        <w:tabs>
          <w:tab w:val="num" w:pos="5760"/>
        </w:tabs>
        <w:ind w:left="5760" w:hanging="360"/>
      </w:pPr>
      <w:rPr>
        <w:rFonts w:ascii="Courier New" w:hAnsi="Courier New" w:hint="default"/>
      </w:rPr>
    </w:lvl>
    <w:lvl w:ilvl="8" w:tplc="77F4591C" w:tentative="1">
      <w:start w:val="1"/>
      <w:numFmt w:val="bullet"/>
      <w:lvlText w:val=""/>
      <w:lvlJc w:val="left"/>
      <w:pPr>
        <w:tabs>
          <w:tab w:val="num" w:pos="6480"/>
        </w:tabs>
        <w:ind w:left="6480" w:hanging="360"/>
      </w:pPr>
      <w:rPr>
        <w:rFonts w:ascii="Wingdings" w:hAnsi="Wingdings" w:hint="default"/>
      </w:rPr>
    </w:lvl>
  </w:abstractNum>
  <w:abstractNum w:abstractNumId="3">
    <w:nsid w:val="6F1D6A21"/>
    <w:multiLevelType w:val="singleLevel"/>
    <w:tmpl w:val="A978FB82"/>
    <w:lvl w:ilvl="0">
      <w:start w:val="1"/>
      <w:numFmt w:val="decimal"/>
      <w:pStyle w:val="References"/>
      <w:lvlText w:val="[%1]"/>
      <w:lvlJc w:val="left"/>
      <w:pPr>
        <w:tabs>
          <w:tab w:val="num" w:pos="0"/>
        </w:tabs>
        <w:ind w:left="432" w:hanging="432"/>
      </w:pPr>
      <w:rPr>
        <w:rFonts w:hint="default"/>
      </w:rPr>
    </w:lvl>
  </w:abstractNum>
  <w:num w:numId="1">
    <w:abstractNumId w:val="1"/>
  </w:num>
  <w:num w:numId="2">
    <w:abstractNumId w:val="3"/>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GrammaticalErrors/>
  <w:activeWritingStyle w:appName="MSWord" w:lang="en-US" w:vendorID="64" w:dllVersion="131077" w:nlCheck="1" w:checkStyle="1"/>
  <w:activeWritingStyle w:appName="MSWord" w:lang="en-US" w:vendorID="64" w:dllVersion="131078" w:nlCheck="1" w:checkStyle="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1"/>
  <w:hyphenationZone w:val="504"/>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427"/>
    <w:rsid w:val="00084830"/>
    <w:rsid w:val="00123DC7"/>
    <w:rsid w:val="0018162C"/>
    <w:rsid w:val="0018191B"/>
    <w:rsid w:val="0018716A"/>
    <w:rsid w:val="001A75E6"/>
    <w:rsid w:val="001B458E"/>
    <w:rsid w:val="0021713B"/>
    <w:rsid w:val="003A2936"/>
    <w:rsid w:val="003A4AEE"/>
    <w:rsid w:val="003F5C0D"/>
    <w:rsid w:val="00411007"/>
    <w:rsid w:val="0050008E"/>
    <w:rsid w:val="005201D3"/>
    <w:rsid w:val="005426CD"/>
    <w:rsid w:val="00572CF5"/>
    <w:rsid w:val="006464DB"/>
    <w:rsid w:val="00667871"/>
    <w:rsid w:val="006913DC"/>
    <w:rsid w:val="00721B98"/>
    <w:rsid w:val="007312E9"/>
    <w:rsid w:val="00791EC7"/>
    <w:rsid w:val="007A5A5C"/>
    <w:rsid w:val="007D3319"/>
    <w:rsid w:val="00863EFD"/>
    <w:rsid w:val="00865B00"/>
    <w:rsid w:val="00880A85"/>
    <w:rsid w:val="008A170B"/>
    <w:rsid w:val="008E3EC8"/>
    <w:rsid w:val="00932427"/>
    <w:rsid w:val="009E5CCF"/>
    <w:rsid w:val="00A1777E"/>
    <w:rsid w:val="00A427BD"/>
    <w:rsid w:val="00A8099D"/>
    <w:rsid w:val="00A835D4"/>
    <w:rsid w:val="00A9336B"/>
    <w:rsid w:val="00AF2713"/>
    <w:rsid w:val="00B0060B"/>
    <w:rsid w:val="00B15E0B"/>
    <w:rsid w:val="00C47F36"/>
    <w:rsid w:val="00D40473"/>
    <w:rsid w:val="00D8209C"/>
    <w:rsid w:val="00D96A06"/>
    <w:rsid w:val="00DA20B1"/>
    <w:rsid w:val="00DF0124"/>
    <w:rsid w:val="00E41256"/>
    <w:rsid w:val="00E87B47"/>
    <w:rsid w:val="00F15625"/>
    <w:rsid w:val="00F24651"/>
    <w:rsid w:val="00F27568"/>
    <w:rsid w:val="00FC0871"/>
    <w:rsid w:val="00FF6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City"/>
  <w:smartTagType w:namespaceuri="urn:schemas-microsoft-com:office:smarttags" w:name="State"/>
  <w:smartTagType w:namespaceuri="urn:schemas-microsoft-com:office:smarttags" w:name="place"/>
  <w:shapeDefaults>
    <o:shapedefaults v:ext="edit" spidmax="2210"/>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7BD"/>
    <w:pPr>
      <w:spacing w:after="80"/>
      <w:jc w:val="both"/>
    </w:pPr>
    <w:rPr>
      <w:kern w:val="16"/>
      <w:sz w:val="18"/>
    </w:rPr>
  </w:style>
  <w:style w:type="paragraph" w:styleId="Heading1">
    <w:name w:val="heading 1"/>
    <w:basedOn w:val="Normal"/>
    <w:next w:val="Normal"/>
    <w:qFormat/>
    <w:pPr>
      <w:keepNext/>
      <w:numPr>
        <w:numId w:val="1"/>
      </w:numPr>
      <w:spacing w:before="80"/>
      <w:jc w:val="left"/>
      <w:outlineLvl w:val="0"/>
    </w:pPr>
    <w:rPr>
      <w:b/>
      <w:kern w:val="28"/>
      <w:sz w:val="24"/>
    </w:rPr>
  </w:style>
  <w:style w:type="paragraph" w:styleId="Heading2">
    <w:name w:val="heading 2"/>
    <w:basedOn w:val="Heading1"/>
    <w:next w:val="Normal"/>
    <w:qFormat/>
    <w:pPr>
      <w:numPr>
        <w:ilvl w:val="1"/>
      </w:numPr>
      <w:outlineLvl w:val="1"/>
    </w:pPr>
    <w:rPr>
      <w:sz w:val="22"/>
    </w:rPr>
  </w:style>
  <w:style w:type="paragraph" w:styleId="Heading3">
    <w:name w:val="heading 3"/>
    <w:basedOn w:val="Heading2"/>
    <w:next w:val="Normal"/>
    <w:qFormat/>
    <w:pPr>
      <w:numPr>
        <w:ilvl w:val="2"/>
      </w:numPr>
      <w:outlineLvl w:val="2"/>
    </w:pPr>
    <w:rPr>
      <w:b w:val="0"/>
      <w:i/>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after="0"/>
      <w:ind w:left="0" w:firstLine="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3">
    <w:name w:val="List Number 3"/>
    <w:basedOn w:val="Normal"/>
    <w:pPr>
      <w:ind w:left="1080" w:hanging="360"/>
    </w:pPr>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pPr>
      <w:spacing w:after="40"/>
      <w:jc w:val="center"/>
    </w:pPr>
    <w:rPr>
      <w:rFonts w:ascii="Helvetica" w:hAnsi="Helvetica"/>
      <w:sz w:val="24"/>
    </w:rPr>
  </w:style>
  <w:style w:type="paragraph" w:customStyle="1" w:styleId="Paper-Title">
    <w:name w:val="Paper-Title"/>
    <w:basedOn w:val="Normal"/>
    <w:pPr>
      <w:spacing w:after="120"/>
      <w:jc w:val="center"/>
    </w:pPr>
    <w:rPr>
      <w:rFonts w:ascii="Helvetica" w:hAnsi="Helvetica"/>
      <w:b/>
      <w:sz w:val="36"/>
    </w:rPr>
  </w:style>
  <w:style w:type="paragraph" w:customStyle="1" w:styleId="Affiliations">
    <w:name w:val="Affiliations"/>
    <w:basedOn w:val="Normal"/>
    <w:pPr>
      <w:jc w:val="center"/>
    </w:pPr>
    <w:rPr>
      <w:rFonts w:ascii="Helvetica" w:hAnsi="Helvetica"/>
    </w:rPr>
  </w:style>
  <w:style w:type="paragraph" w:styleId="FootnoteText">
    <w:name w:val="footnote text"/>
    <w:basedOn w:val="Normal"/>
    <w:semiHidden/>
    <w:pPr>
      <w:ind w:left="144" w:hanging="144"/>
    </w:pPr>
    <w:rPr>
      <w:sz w:val="16"/>
    </w:rPr>
  </w:style>
  <w:style w:type="paragraph" w:customStyle="1" w:styleId="Bullet">
    <w:name w:val="Bullet"/>
    <w:basedOn w:val="Normal"/>
    <w:pPr>
      <w:numPr>
        <w:numId w:val="3"/>
      </w:numPr>
      <w:tabs>
        <w:tab w:val="clear" w:pos="360"/>
        <w:tab w:val="num" w:pos="162"/>
      </w:tabs>
      <w:spacing w:after="60"/>
      <w:ind w:left="162" w:hanging="162"/>
    </w:pPr>
  </w:style>
  <w:style w:type="character" w:styleId="CommentReference">
    <w:name w:val="annotation reference"/>
    <w:basedOn w:val="DefaultParagraphFont"/>
    <w:semiHidden/>
    <w:rPr>
      <w:sz w:val="16"/>
      <w:szCs w:val="16"/>
    </w:rPr>
  </w:style>
  <w:style w:type="character" w:customStyle="1" w:styleId="EmailStyle20">
    <w:name w:val="EmailStyle20"/>
    <w:basedOn w:val="DefaultParagraphFont"/>
    <w:rPr>
      <w:rFonts w:ascii="Arial" w:hAnsi="Arial" w:cs="Arial"/>
      <w:color w:val="000000"/>
      <w:sz w:val="20"/>
      <w:szCs w:val="20"/>
    </w:rPr>
  </w:style>
  <w:style w:type="paragraph" w:customStyle="1" w:styleId="Abstract">
    <w:name w:val="Abstract"/>
    <w:basedOn w:val="Heading1"/>
    <w:pPr>
      <w:outlineLvl w:val="9"/>
    </w:pPr>
  </w:style>
  <w:style w:type="paragraph" w:customStyle="1" w:styleId="Captions">
    <w:name w:val="Captions"/>
    <w:basedOn w:val="Normal"/>
    <w:pPr>
      <w:framePr w:w="4680" w:h="2160" w:hRule="exact" w:hSpace="187" w:wrap="around" w:hAnchor="text" w:yAlign="bottom" w:anchorLock="1"/>
      <w:jc w:val="center"/>
    </w:pPr>
    <w:rPr>
      <w:b/>
    </w:rPr>
  </w:style>
  <w:style w:type="paragraph" w:customStyle="1" w:styleId="References">
    <w:name w:val="References"/>
    <w:basedOn w:val="Normal"/>
    <w:pPr>
      <w:numPr>
        <w:numId w:val="2"/>
      </w:numPr>
      <w:spacing w:after="60"/>
    </w:pPr>
    <w:rPr>
      <w:sz w:val="16"/>
    </w:rPr>
  </w:style>
  <w:style w:type="paragraph" w:styleId="CommentText">
    <w:name w:val="annotation text"/>
    <w:basedOn w:val="Normal"/>
    <w:semiHidden/>
    <w:rPr>
      <w:sz w:val="20"/>
    </w:rPr>
  </w:style>
  <w:style w:type="paragraph" w:styleId="BodyText">
    <w:name w:val="Body Text"/>
    <w:basedOn w:val="Normal"/>
    <w:rPr>
      <w:b/>
      <w:bCs/>
    </w:rPr>
  </w:style>
  <w:style w:type="paragraph" w:styleId="BodyText2">
    <w:name w:val="Body Text 2"/>
    <w:basedOn w:val="Normal"/>
    <w:rPr>
      <w:color w:val="3366FF"/>
    </w:rPr>
  </w:style>
  <w:style w:type="character" w:styleId="Hyperlink">
    <w:name w:val="Hyperlink"/>
    <w:basedOn w:val="DefaultParagraphFont"/>
    <w:rPr>
      <w:color w:val="0000FF"/>
      <w:u w:val="single"/>
    </w:rPr>
  </w:style>
  <w:style w:type="paragraph" w:styleId="Caption">
    <w:name w:val="caption"/>
    <w:basedOn w:val="Normal"/>
    <w:next w:val="Normal"/>
    <w:qFormat/>
    <w:pPr>
      <w:spacing w:before="20" w:after="60"/>
      <w:ind w:left="86"/>
      <w:jc w:val="center"/>
    </w:pPr>
  </w:style>
  <w:style w:type="paragraph" w:styleId="DocumentMap">
    <w:name w:val="Document Map"/>
    <w:basedOn w:val="Normal"/>
    <w:semiHidden/>
    <w:pPr>
      <w:shd w:val="clear" w:color="auto" w:fill="000080"/>
    </w:pPr>
    <w:rPr>
      <w:rFonts w:ascii="Tahoma" w:hAnsi="Tahoma" w:cs="Tahoma"/>
    </w:rPr>
  </w:style>
  <w:style w:type="character" w:styleId="Strong">
    <w:name w:val="Strong"/>
    <w:basedOn w:val="DefaultParagraphFont"/>
    <w:qFormat/>
    <w:rPr>
      <w:b/>
      <w:bC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Courier New" w:hAnsi="Courier New"/>
      <w:color w:val="000000"/>
      <w:sz w:val="20"/>
    </w:rPr>
  </w:style>
  <w:style w:type="paragraph" w:styleId="BodyText3">
    <w:name w:val="Body Text 3"/>
    <w:basedOn w:val="Normal"/>
    <w:rPr>
      <w:color w:val="800080"/>
    </w:rPr>
  </w:style>
  <w:style w:type="paragraph" w:styleId="PlainText">
    <w:name w:val="Plain Text"/>
    <w:basedOn w:val="Normal"/>
    <w:pPr>
      <w:spacing w:after="0"/>
      <w:jc w:val="left"/>
    </w:pPr>
    <w:rPr>
      <w:rFonts w:ascii="Courier New" w:hAnsi="Courier New" w:cs="Tahoma"/>
      <w:sz w:val="20"/>
    </w:rPr>
  </w:style>
  <w:style w:type="paragraph" w:styleId="ListBullet">
    <w:name w:val="List Bullet"/>
    <w:basedOn w:val="Normal"/>
    <w:autoRedefine/>
    <w:pPr>
      <w:numPr>
        <w:numId w:val="4"/>
      </w:numPr>
    </w:pPr>
  </w:style>
  <w:style w:type="character" w:customStyle="1" w:styleId="HuguesHoppe">
    <w:name w:val="Hugues Hoppe"/>
    <w:basedOn w:val="DefaultParagraphFont"/>
    <w:rPr>
      <w:rFonts w:ascii="Arial" w:hAnsi="Arial" w:cs="Arial"/>
      <w:color w:val="000080"/>
      <w:sz w:val="20"/>
    </w:rPr>
  </w:style>
  <w:style w:type="paragraph" w:customStyle="1" w:styleId="Equation">
    <w:name w:val="Equation"/>
    <w:basedOn w:val="Normal"/>
    <w:pPr>
      <w:jc w:val="center"/>
    </w:pPr>
  </w:style>
  <w:style w:type="paragraph" w:customStyle="1" w:styleId="ParHead">
    <w:name w:val="ParHead"/>
    <w:basedOn w:val="Normal"/>
    <w:rPr>
      <w:b/>
      <w:bCs/>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jc w:val="left"/>
    </w:pPr>
    <w:rPr>
      <w:sz w:val="24"/>
      <w:szCs w:val="24"/>
    </w:rPr>
  </w:style>
  <w:style w:type="character" w:styleId="FollowedHyperlink">
    <w:name w:val="FollowedHyperlink"/>
    <w:basedOn w:val="DefaultParagraphFont"/>
    <w:rPr>
      <w:color w:val="800080"/>
      <w:u w:val="single"/>
    </w:rPr>
  </w:style>
  <w:style w:type="paragraph" w:customStyle="1" w:styleId="EMail">
    <w:name w:val="EMail"/>
    <w:basedOn w:val="Affiliations"/>
    <w:rPr>
      <w:sz w:val="14"/>
    </w:rPr>
  </w:style>
  <w:style w:type="paragraph" w:styleId="List3">
    <w:name w:val="List 3"/>
    <w:basedOn w:val="Normal"/>
    <w:pPr>
      <w:ind w:left="108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BodyTextIndent">
    <w:name w:val="Body Text Indent"/>
    <w:basedOn w:val="Normal"/>
    <w:pPr>
      <w:spacing w:after="120"/>
      <w:ind w:left="360"/>
    </w:pPr>
  </w:style>
  <w:style w:type="paragraph" w:styleId="NormalIndent">
    <w:name w:val="Normal Indent"/>
    <w:basedOn w:val="Normal"/>
    <w:pPr>
      <w:ind w:left="720"/>
    </w:pPr>
  </w:style>
  <w:style w:type="character" w:customStyle="1" w:styleId="MTEquationSection">
    <w:name w:val="MTEquationSection"/>
    <w:basedOn w:val="DefaultParagraphFont"/>
    <w:rPr>
      <w:vanish/>
      <w:color w:val="FF0000"/>
    </w:rPr>
  </w:style>
  <w:style w:type="paragraph" w:customStyle="1" w:styleId="MTDisplayEquation">
    <w:name w:val="MTDisplayEquation"/>
    <w:basedOn w:val="Normal"/>
    <w:pPr>
      <w:tabs>
        <w:tab w:val="center" w:pos="2400"/>
        <w:tab w:val="right" w:pos="4800"/>
      </w:tabs>
    </w:pPr>
  </w:style>
  <w:style w:type="paragraph" w:customStyle="1" w:styleId="Code">
    <w:name w:val="Code"/>
    <w:basedOn w:val="Normal"/>
    <w:pPr>
      <w:keepLines/>
      <w:spacing w:before="100" w:after="100" w:line="180" w:lineRule="exact"/>
      <w:jc w:val="left"/>
    </w:pPr>
    <w:rPr>
      <w:rFonts w:ascii="Arial" w:hAnsi="Arial" w:cs="Arial"/>
      <w:noProof/>
      <w:sz w:val="16"/>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customStyle="1" w:styleId="Italic">
    <w:name w:val="Italic"/>
    <w:basedOn w:val="Normal"/>
    <w:rPr>
      <w:i/>
      <w:iCs/>
    </w:rPr>
  </w:style>
  <w:style w:type="character" w:customStyle="1" w:styleId="BulletChar">
    <w:name w:val="Bullet Char"/>
    <w:basedOn w:val="DefaultParagraphFont"/>
    <w:rPr>
      <w:sz w:val="18"/>
      <w:lang w:val="en-US" w:eastAsia="en-US" w:bidi="ar-SA"/>
    </w:rPr>
  </w:style>
  <w:style w:type="character" w:customStyle="1" w:styleId="ItalicChar">
    <w:name w:val="Italic Char"/>
    <w:basedOn w:val="BulletChar"/>
    <w:rPr>
      <w:i/>
      <w:iCs/>
      <w:sz w:val="18"/>
      <w:lang w:val="en-US" w:eastAsia="en-US" w:bidi="ar-SA"/>
    </w:rPr>
  </w:style>
  <w:style w:type="character" w:styleId="PlaceholderText">
    <w:name w:val="Placeholder Text"/>
    <w:basedOn w:val="DefaultParagraphFont"/>
    <w:uiPriority w:val="99"/>
    <w:semiHidden/>
    <w:rsid w:val="006913D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7BD"/>
    <w:pPr>
      <w:spacing w:after="80"/>
      <w:jc w:val="both"/>
    </w:pPr>
    <w:rPr>
      <w:kern w:val="16"/>
      <w:sz w:val="18"/>
    </w:rPr>
  </w:style>
  <w:style w:type="paragraph" w:styleId="Heading1">
    <w:name w:val="heading 1"/>
    <w:basedOn w:val="Normal"/>
    <w:next w:val="Normal"/>
    <w:qFormat/>
    <w:pPr>
      <w:keepNext/>
      <w:numPr>
        <w:numId w:val="1"/>
      </w:numPr>
      <w:spacing w:before="80"/>
      <w:jc w:val="left"/>
      <w:outlineLvl w:val="0"/>
    </w:pPr>
    <w:rPr>
      <w:b/>
      <w:kern w:val="28"/>
      <w:sz w:val="24"/>
    </w:rPr>
  </w:style>
  <w:style w:type="paragraph" w:styleId="Heading2">
    <w:name w:val="heading 2"/>
    <w:basedOn w:val="Heading1"/>
    <w:next w:val="Normal"/>
    <w:qFormat/>
    <w:pPr>
      <w:numPr>
        <w:ilvl w:val="1"/>
      </w:numPr>
      <w:outlineLvl w:val="1"/>
    </w:pPr>
    <w:rPr>
      <w:sz w:val="22"/>
    </w:rPr>
  </w:style>
  <w:style w:type="paragraph" w:styleId="Heading3">
    <w:name w:val="heading 3"/>
    <w:basedOn w:val="Heading2"/>
    <w:next w:val="Normal"/>
    <w:qFormat/>
    <w:pPr>
      <w:numPr>
        <w:ilvl w:val="2"/>
      </w:numPr>
      <w:outlineLvl w:val="2"/>
    </w:pPr>
    <w:rPr>
      <w:b w:val="0"/>
      <w:i/>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after="0"/>
      <w:ind w:left="0" w:firstLine="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3">
    <w:name w:val="List Number 3"/>
    <w:basedOn w:val="Normal"/>
    <w:pPr>
      <w:ind w:left="1080" w:hanging="360"/>
    </w:pPr>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pPr>
      <w:spacing w:after="40"/>
      <w:jc w:val="center"/>
    </w:pPr>
    <w:rPr>
      <w:rFonts w:ascii="Helvetica" w:hAnsi="Helvetica"/>
      <w:sz w:val="24"/>
    </w:rPr>
  </w:style>
  <w:style w:type="paragraph" w:customStyle="1" w:styleId="Paper-Title">
    <w:name w:val="Paper-Title"/>
    <w:basedOn w:val="Normal"/>
    <w:pPr>
      <w:spacing w:after="120"/>
      <w:jc w:val="center"/>
    </w:pPr>
    <w:rPr>
      <w:rFonts w:ascii="Helvetica" w:hAnsi="Helvetica"/>
      <w:b/>
      <w:sz w:val="36"/>
    </w:rPr>
  </w:style>
  <w:style w:type="paragraph" w:customStyle="1" w:styleId="Affiliations">
    <w:name w:val="Affiliations"/>
    <w:basedOn w:val="Normal"/>
    <w:pPr>
      <w:jc w:val="center"/>
    </w:pPr>
    <w:rPr>
      <w:rFonts w:ascii="Helvetica" w:hAnsi="Helvetica"/>
    </w:rPr>
  </w:style>
  <w:style w:type="paragraph" w:styleId="FootnoteText">
    <w:name w:val="footnote text"/>
    <w:basedOn w:val="Normal"/>
    <w:semiHidden/>
    <w:pPr>
      <w:ind w:left="144" w:hanging="144"/>
    </w:pPr>
    <w:rPr>
      <w:sz w:val="16"/>
    </w:rPr>
  </w:style>
  <w:style w:type="paragraph" w:customStyle="1" w:styleId="Bullet">
    <w:name w:val="Bullet"/>
    <w:basedOn w:val="Normal"/>
    <w:pPr>
      <w:numPr>
        <w:numId w:val="3"/>
      </w:numPr>
      <w:tabs>
        <w:tab w:val="clear" w:pos="360"/>
        <w:tab w:val="num" w:pos="162"/>
      </w:tabs>
      <w:spacing w:after="60"/>
      <w:ind w:left="162" w:hanging="162"/>
    </w:pPr>
  </w:style>
  <w:style w:type="character" w:styleId="CommentReference">
    <w:name w:val="annotation reference"/>
    <w:basedOn w:val="DefaultParagraphFont"/>
    <w:semiHidden/>
    <w:rPr>
      <w:sz w:val="16"/>
      <w:szCs w:val="16"/>
    </w:rPr>
  </w:style>
  <w:style w:type="character" w:customStyle="1" w:styleId="EmailStyle20">
    <w:name w:val="EmailStyle20"/>
    <w:basedOn w:val="DefaultParagraphFont"/>
    <w:rPr>
      <w:rFonts w:ascii="Arial" w:hAnsi="Arial" w:cs="Arial"/>
      <w:color w:val="000000"/>
      <w:sz w:val="20"/>
      <w:szCs w:val="20"/>
    </w:rPr>
  </w:style>
  <w:style w:type="paragraph" w:customStyle="1" w:styleId="Abstract">
    <w:name w:val="Abstract"/>
    <w:basedOn w:val="Heading1"/>
    <w:pPr>
      <w:outlineLvl w:val="9"/>
    </w:pPr>
  </w:style>
  <w:style w:type="paragraph" w:customStyle="1" w:styleId="Captions">
    <w:name w:val="Captions"/>
    <w:basedOn w:val="Normal"/>
    <w:pPr>
      <w:framePr w:w="4680" w:h="2160" w:hRule="exact" w:hSpace="187" w:wrap="around" w:hAnchor="text" w:yAlign="bottom" w:anchorLock="1"/>
      <w:jc w:val="center"/>
    </w:pPr>
    <w:rPr>
      <w:b/>
    </w:rPr>
  </w:style>
  <w:style w:type="paragraph" w:customStyle="1" w:styleId="References">
    <w:name w:val="References"/>
    <w:basedOn w:val="Normal"/>
    <w:pPr>
      <w:numPr>
        <w:numId w:val="2"/>
      </w:numPr>
      <w:spacing w:after="60"/>
    </w:pPr>
    <w:rPr>
      <w:sz w:val="16"/>
    </w:rPr>
  </w:style>
  <w:style w:type="paragraph" w:styleId="CommentText">
    <w:name w:val="annotation text"/>
    <w:basedOn w:val="Normal"/>
    <w:semiHidden/>
    <w:rPr>
      <w:sz w:val="20"/>
    </w:rPr>
  </w:style>
  <w:style w:type="paragraph" w:styleId="BodyText">
    <w:name w:val="Body Text"/>
    <w:basedOn w:val="Normal"/>
    <w:rPr>
      <w:b/>
      <w:bCs/>
    </w:rPr>
  </w:style>
  <w:style w:type="paragraph" w:styleId="BodyText2">
    <w:name w:val="Body Text 2"/>
    <w:basedOn w:val="Normal"/>
    <w:rPr>
      <w:color w:val="3366FF"/>
    </w:rPr>
  </w:style>
  <w:style w:type="character" w:styleId="Hyperlink">
    <w:name w:val="Hyperlink"/>
    <w:basedOn w:val="DefaultParagraphFont"/>
    <w:rPr>
      <w:color w:val="0000FF"/>
      <w:u w:val="single"/>
    </w:rPr>
  </w:style>
  <w:style w:type="paragraph" w:styleId="Caption">
    <w:name w:val="caption"/>
    <w:basedOn w:val="Normal"/>
    <w:next w:val="Normal"/>
    <w:qFormat/>
    <w:pPr>
      <w:spacing w:before="20" w:after="60"/>
      <w:ind w:left="86"/>
      <w:jc w:val="center"/>
    </w:pPr>
  </w:style>
  <w:style w:type="paragraph" w:styleId="DocumentMap">
    <w:name w:val="Document Map"/>
    <w:basedOn w:val="Normal"/>
    <w:semiHidden/>
    <w:pPr>
      <w:shd w:val="clear" w:color="auto" w:fill="000080"/>
    </w:pPr>
    <w:rPr>
      <w:rFonts w:ascii="Tahoma" w:hAnsi="Tahoma" w:cs="Tahoma"/>
    </w:rPr>
  </w:style>
  <w:style w:type="character" w:styleId="Strong">
    <w:name w:val="Strong"/>
    <w:basedOn w:val="DefaultParagraphFont"/>
    <w:qFormat/>
    <w:rPr>
      <w:b/>
      <w:bC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Courier New" w:hAnsi="Courier New"/>
      <w:color w:val="000000"/>
      <w:sz w:val="20"/>
    </w:rPr>
  </w:style>
  <w:style w:type="paragraph" w:styleId="BodyText3">
    <w:name w:val="Body Text 3"/>
    <w:basedOn w:val="Normal"/>
    <w:rPr>
      <w:color w:val="800080"/>
    </w:rPr>
  </w:style>
  <w:style w:type="paragraph" w:styleId="PlainText">
    <w:name w:val="Plain Text"/>
    <w:basedOn w:val="Normal"/>
    <w:pPr>
      <w:spacing w:after="0"/>
      <w:jc w:val="left"/>
    </w:pPr>
    <w:rPr>
      <w:rFonts w:ascii="Courier New" w:hAnsi="Courier New" w:cs="Tahoma"/>
      <w:sz w:val="20"/>
    </w:rPr>
  </w:style>
  <w:style w:type="paragraph" w:styleId="ListBullet">
    <w:name w:val="List Bullet"/>
    <w:basedOn w:val="Normal"/>
    <w:autoRedefine/>
    <w:pPr>
      <w:numPr>
        <w:numId w:val="4"/>
      </w:numPr>
    </w:pPr>
  </w:style>
  <w:style w:type="character" w:customStyle="1" w:styleId="HuguesHoppe">
    <w:name w:val="Hugues Hoppe"/>
    <w:basedOn w:val="DefaultParagraphFont"/>
    <w:rPr>
      <w:rFonts w:ascii="Arial" w:hAnsi="Arial" w:cs="Arial"/>
      <w:color w:val="000080"/>
      <w:sz w:val="20"/>
    </w:rPr>
  </w:style>
  <w:style w:type="paragraph" w:customStyle="1" w:styleId="Equation">
    <w:name w:val="Equation"/>
    <w:basedOn w:val="Normal"/>
    <w:pPr>
      <w:jc w:val="center"/>
    </w:pPr>
  </w:style>
  <w:style w:type="paragraph" w:customStyle="1" w:styleId="ParHead">
    <w:name w:val="ParHead"/>
    <w:basedOn w:val="Normal"/>
    <w:rPr>
      <w:b/>
      <w:bCs/>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jc w:val="left"/>
    </w:pPr>
    <w:rPr>
      <w:sz w:val="24"/>
      <w:szCs w:val="24"/>
    </w:rPr>
  </w:style>
  <w:style w:type="character" w:styleId="FollowedHyperlink">
    <w:name w:val="FollowedHyperlink"/>
    <w:basedOn w:val="DefaultParagraphFont"/>
    <w:rPr>
      <w:color w:val="800080"/>
      <w:u w:val="single"/>
    </w:rPr>
  </w:style>
  <w:style w:type="paragraph" w:customStyle="1" w:styleId="EMail">
    <w:name w:val="EMail"/>
    <w:basedOn w:val="Affiliations"/>
    <w:rPr>
      <w:sz w:val="14"/>
    </w:rPr>
  </w:style>
  <w:style w:type="paragraph" w:styleId="List3">
    <w:name w:val="List 3"/>
    <w:basedOn w:val="Normal"/>
    <w:pPr>
      <w:ind w:left="108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BodyTextIndent">
    <w:name w:val="Body Text Indent"/>
    <w:basedOn w:val="Normal"/>
    <w:pPr>
      <w:spacing w:after="120"/>
      <w:ind w:left="360"/>
    </w:pPr>
  </w:style>
  <w:style w:type="paragraph" w:styleId="NormalIndent">
    <w:name w:val="Normal Indent"/>
    <w:basedOn w:val="Normal"/>
    <w:pPr>
      <w:ind w:left="720"/>
    </w:pPr>
  </w:style>
  <w:style w:type="character" w:customStyle="1" w:styleId="MTEquationSection">
    <w:name w:val="MTEquationSection"/>
    <w:basedOn w:val="DefaultParagraphFont"/>
    <w:rPr>
      <w:vanish/>
      <w:color w:val="FF0000"/>
    </w:rPr>
  </w:style>
  <w:style w:type="paragraph" w:customStyle="1" w:styleId="MTDisplayEquation">
    <w:name w:val="MTDisplayEquation"/>
    <w:basedOn w:val="Normal"/>
    <w:pPr>
      <w:tabs>
        <w:tab w:val="center" w:pos="2400"/>
        <w:tab w:val="right" w:pos="4800"/>
      </w:tabs>
    </w:pPr>
  </w:style>
  <w:style w:type="paragraph" w:customStyle="1" w:styleId="Code">
    <w:name w:val="Code"/>
    <w:basedOn w:val="Normal"/>
    <w:pPr>
      <w:keepLines/>
      <w:spacing w:before="100" w:after="100" w:line="180" w:lineRule="exact"/>
      <w:jc w:val="left"/>
    </w:pPr>
    <w:rPr>
      <w:rFonts w:ascii="Arial" w:hAnsi="Arial" w:cs="Arial"/>
      <w:noProof/>
      <w:sz w:val="16"/>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customStyle="1" w:styleId="Italic">
    <w:name w:val="Italic"/>
    <w:basedOn w:val="Normal"/>
    <w:rPr>
      <w:i/>
      <w:iCs/>
    </w:rPr>
  </w:style>
  <w:style w:type="character" w:customStyle="1" w:styleId="BulletChar">
    <w:name w:val="Bullet Char"/>
    <w:basedOn w:val="DefaultParagraphFont"/>
    <w:rPr>
      <w:sz w:val="18"/>
      <w:lang w:val="en-US" w:eastAsia="en-US" w:bidi="ar-SA"/>
    </w:rPr>
  </w:style>
  <w:style w:type="character" w:customStyle="1" w:styleId="ItalicChar">
    <w:name w:val="Italic Char"/>
    <w:basedOn w:val="BulletChar"/>
    <w:rPr>
      <w:i/>
      <w:iCs/>
      <w:sz w:val="18"/>
      <w:lang w:val="en-US" w:eastAsia="en-US" w:bidi="ar-SA"/>
    </w:rPr>
  </w:style>
  <w:style w:type="character" w:styleId="PlaceholderText">
    <w:name w:val="Placeholder Text"/>
    <w:basedOn w:val="DefaultParagraphFont"/>
    <w:uiPriority w:val="99"/>
    <w:semiHidden/>
    <w:rsid w:val="006913D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oleObject" Target="embeddings/oleObject1.bin"/><Relationship Id="rId39" Type="http://schemas.openxmlformats.org/officeDocument/2006/relationships/image" Target="media/image26.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oleObject" Target="embeddings/oleObject2.bin"/><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4.wmf"/><Relationship Id="rId38" Type="http://schemas.openxmlformats.org/officeDocument/2006/relationships/header" Target="header1.xml"/><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chart" Target="charts/chart2.xml"/><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chart" Target="charts/chart1.xml"/><Relationship Id="rId49" Type="http://schemas.openxmlformats.org/officeDocument/2006/relationships/image" Target="media/image36.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footer" Target="footer1.xml"/><Relationship Id="rId51"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9" b="0" i="0" u="none" strike="noStrike" baseline="0">
                <a:solidFill>
                  <a:srgbClr val="000000"/>
                </a:solidFill>
                <a:latin typeface="Arial"/>
                <a:ea typeface="Arial"/>
                <a:cs typeface="Arial"/>
              </a:defRPr>
            </a:pPr>
            <a:r>
              <a:rPr lang="en-US"/>
              <a:t>Horse PM: L^2 Stretch Error (weighted)</a:t>
            </a:r>
          </a:p>
        </c:rich>
      </c:tx>
      <c:layout>
        <c:manualLayout>
          <c:xMode val="edge"/>
          <c:yMode val="edge"/>
          <c:x val="0.19303797468354431"/>
          <c:y val="1.8181818181818181E-2"/>
        </c:manualLayout>
      </c:layout>
      <c:overlay val="0"/>
      <c:spPr>
        <a:noFill/>
        <a:ln w="25380">
          <a:noFill/>
        </a:ln>
      </c:spPr>
    </c:title>
    <c:autoTitleDeleted val="0"/>
    <c:plotArea>
      <c:layout>
        <c:manualLayout>
          <c:layoutTarget val="inner"/>
          <c:xMode val="edge"/>
          <c:yMode val="edge"/>
          <c:x val="0.14240506329113925"/>
          <c:y val="0.1409090909090909"/>
          <c:w val="0.79746835443037978"/>
          <c:h val="0.6863636363636364"/>
        </c:manualLayout>
      </c:layout>
      <c:scatterChart>
        <c:scatterStyle val="lineMarker"/>
        <c:varyColors val="0"/>
        <c:ser>
          <c:idx val="0"/>
          <c:order val="0"/>
          <c:tx>
            <c:v>uniform param.</c:v>
          </c:tx>
          <c:spPr>
            <a:ln w="12690">
              <a:solidFill>
                <a:srgbClr val="0000FF"/>
              </a:solidFill>
              <a:prstDash val="solid"/>
            </a:ln>
          </c:spPr>
          <c:marker>
            <c:symbol val="none"/>
          </c:marker>
          <c:xVal>
            <c:numRef>
              <c:f>HorseStretch!$A$2:$A$31</c:f>
              <c:numCache>
                <c:formatCode>General</c:formatCode>
                <c:ptCount val="30"/>
                <c:pt idx="0">
                  <c:v>470</c:v>
                </c:pt>
                <c:pt idx="1">
                  <c:v>564</c:v>
                </c:pt>
                <c:pt idx="2">
                  <c:v>678</c:v>
                </c:pt>
                <c:pt idx="3">
                  <c:v>815</c:v>
                </c:pt>
                <c:pt idx="4">
                  <c:v>980</c:v>
                </c:pt>
                <c:pt idx="5">
                  <c:v>1178</c:v>
                </c:pt>
                <c:pt idx="6">
                  <c:v>1415</c:v>
                </c:pt>
                <c:pt idx="7">
                  <c:v>1701</c:v>
                </c:pt>
                <c:pt idx="8">
                  <c:v>2044</c:v>
                </c:pt>
                <c:pt idx="9">
                  <c:v>2456</c:v>
                </c:pt>
                <c:pt idx="10">
                  <c:v>2952</c:v>
                </c:pt>
                <c:pt idx="11">
                  <c:v>3548</c:v>
                </c:pt>
                <c:pt idx="12">
                  <c:v>4263</c:v>
                </c:pt>
                <c:pt idx="13">
                  <c:v>5124</c:v>
                </c:pt>
                <c:pt idx="14">
                  <c:v>6157</c:v>
                </c:pt>
                <c:pt idx="15">
                  <c:v>7400</c:v>
                </c:pt>
                <c:pt idx="16">
                  <c:v>8893</c:v>
                </c:pt>
                <c:pt idx="17">
                  <c:v>10687</c:v>
                </c:pt>
                <c:pt idx="18">
                  <c:v>12843</c:v>
                </c:pt>
                <c:pt idx="19">
                  <c:v>15434</c:v>
                </c:pt>
                <c:pt idx="20">
                  <c:v>18547</c:v>
                </c:pt>
                <c:pt idx="21">
                  <c:v>22289</c:v>
                </c:pt>
                <c:pt idx="22">
                  <c:v>26786</c:v>
                </c:pt>
                <c:pt idx="23">
                  <c:v>32189</c:v>
                </c:pt>
                <c:pt idx="24">
                  <c:v>38683</c:v>
                </c:pt>
                <c:pt idx="25">
                  <c:v>46487</c:v>
                </c:pt>
                <c:pt idx="26">
                  <c:v>55865</c:v>
                </c:pt>
                <c:pt idx="27">
                  <c:v>67136</c:v>
                </c:pt>
                <c:pt idx="28">
                  <c:v>80679</c:v>
                </c:pt>
                <c:pt idx="29">
                  <c:v>96956</c:v>
                </c:pt>
              </c:numCache>
            </c:numRef>
          </c:xVal>
          <c:yVal>
            <c:numRef>
              <c:f>HorseStretch!$C$2:$C$31</c:f>
              <c:numCache>
                <c:formatCode>General</c:formatCode>
                <c:ptCount val="30"/>
                <c:pt idx="0">
                  <c:v>335.84246915</c:v>
                </c:pt>
                <c:pt idx="1">
                  <c:v>408.52660943999996</c:v>
                </c:pt>
                <c:pt idx="2">
                  <c:v>496.93440141000002</c:v>
                </c:pt>
                <c:pt idx="3">
                  <c:v>605.65001682500008</c:v>
                </c:pt>
                <c:pt idx="4">
                  <c:v>723.13727640000002</c:v>
                </c:pt>
                <c:pt idx="5">
                  <c:v>877.19155673</c:v>
                </c:pt>
                <c:pt idx="6">
                  <c:v>1056.1190119</c:v>
                </c:pt>
                <c:pt idx="7">
                  <c:v>1276.9411422600001</c:v>
                </c:pt>
                <c:pt idx="8">
                  <c:v>1546.02400008</c:v>
                </c:pt>
                <c:pt idx="9">
                  <c:v>1861.1080483999999</c:v>
                </c:pt>
                <c:pt idx="10">
                  <c:v>2250.5034725999999</c:v>
                </c:pt>
                <c:pt idx="11">
                  <c:v>2716.8575831999997</c:v>
                </c:pt>
                <c:pt idx="12">
                  <c:v>3310.9110864899999</c:v>
                </c:pt>
                <c:pt idx="13">
                  <c:v>3983.2256385599999</c:v>
                </c:pt>
                <c:pt idx="14">
                  <c:v>5163.3145047400003</c:v>
                </c:pt>
                <c:pt idx="15">
                  <c:v>6248.5628119999992</c:v>
                </c:pt>
                <c:pt idx="16">
                  <c:v>7605.2504244850006</c:v>
                </c:pt>
                <c:pt idx="17">
                  <c:v>9451.3065410500003</c:v>
                </c:pt>
                <c:pt idx="18">
                  <c:v>12638.545797285</c:v>
                </c:pt>
                <c:pt idx="19">
                  <c:v>12482.974132719999</c:v>
                </c:pt>
                <c:pt idx="20">
                  <c:v>15079.036407115</c:v>
                </c:pt>
                <c:pt idx="21">
                  <c:v>18245.277017960001</c:v>
                </c:pt>
                <c:pt idx="22">
                  <c:v>22936.243757799999</c:v>
                </c:pt>
                <c:pt idx="23">
                  <c:v>27723.134191680001</c:v>
                </c:pt>
                <c:pt idx="24">
                  <c:v>32011.1302335</c:v>
                </c:pt>
                <c:pt idx="25">
                  <c:v>37914.807659574995</c:v>
                </c:pt>
                <c:pt idx="26">
                  <c:v>45682.833371649998</c:v>
                </c:pt>
                <c:pt idx="27">
                  <c:v>54674.1334384</c:v>
                </c:pt>
                <c:pt idx="28">
                  <c:v>65310.966777884998</c:v>
                </c:pt>
                <c:pt idx="29">
                  <c:v>78434.394970540001</c:v>
                </c:pt>
              </c:numCache>
            </c:numRef>
          </c:yVal>
          <c:smooth val="0"/>
        </c:ser>
        <c:ser>
          <c:idx val="3"/>
          <c:order val="1"/>
          <c:tx>
            <c:v>min-stretch param.</c:v>
          </c:tx>
          <c:spPr>
            <a:ln w="12690">
              <a:solidFill>
                <a:srgbClr val="339966"/>
              </a:solidFill>
              <a:prstDash val="solid"/>
            </a:ln>
          </c:spPr>
          <c:marker>
            <c:symbol val="none"/>
          </c:marker>
          <c:xVal>
            <c:numRef>
              <c:f>HorseStretch!$D$2:$D$31</c:f>
              <c:numCache>
                <c:formatCode>General</c:formatCode>
                <c:ptCount val="30"/>
                <c:pt idx="0">
                  <c:v>470</c:v>
                </c:pt>
                <c:pt idx="1">
                  <c:v>564</c:v>
                </c:pt>
                <c:pt idx="2">
                  <c:v>678</c:v>
                </c:pt>
                <c:pt idx="3">
                  <c:v>815</c:v>
                </c:pt>
                <c:pt idx="4">
                  <c:v>980</c:v>
                </c:pt>
                <c:pt idx="5">
                  <c:v>1178</c:v>
                </c:pt>
                <c:pt idx="6">
                  <c:v>1415</c:v>
                </c:pt>
                <c:pt idx="7">
                  <c:v>1701</c:v>
                </c:pt>
                <c:pt idx="8">
                  <c:v>2044</c:v>
                </c:pt>
                <c:pt idx="9">
                  <c:v>2456</c:v>
                </c:pt>
                <c:pt idx="10">
                  <c:v>2952</c:v>
                </c:pt>
                <c:pt idx="11">
                  <c:v>3548</c:v>
                </c:pt>
                <c:pt idx="12">
                  <c:v>4263</c:v>
                </c:pt>
                <c:pt idx="13">
                  <c:v>5124</c:v>
                </c:pt>
                <c:pt idx="14">
                  <c:v>6157</c:v>
                </c:pt>
                <c:pt idx="15">
                  <c:v>7400</c:v>
                </c:pt>
                <c:pt idx="16">
                  <c:v>8893</c:v>
                </c:pt>
                <c:pt idx="17">
                  <c:v>10687</c:v>
                </c:pt>
                <c:pt idx="18">
                  <c:v>12843</c:v>
                </c:pt>
                <c:pt idx="19">
                  <c:v>15434</c:v>
                </c:pt>
                <c:pt idx="20">
                  <c:v>18547</c:v>
                </c:pt>
                <c:pt idx="21">
                  <c:v>22289</c:v>
                </c:pt>
                <c:pt idx="22">
                  <c:v>26786</c:v>
                </c:pt>
                <c:pt idx="23">
                  <c:v>32189</c:v>
                </c:pt>
                <c:pt idx="24">
                  <c:v>38683</c:v>
                </c:pt>
                <c:pt idx="25">
                  <c:v>46487</c:v>
                </c:pt>
                <c:pt idx="26">
                  <c:v>55865</c:v>
                </c:pt>
                <c:pt idx="27">
                  <c:v>67136</c:v>
                </c:pt>
                <c:pt idx="28">
                  <c:v>80679</c:v>
                </c:pt>
                <c:pt idx="29">
                  <c:v>96956</c:v>
                </c:pt>
              </c:numCache>
            </c:numRef>
          </c:xVal>
          <c:yVal>
            <c:numRef>
              <c:f>HorseStretch!$F$2:$F$31</c:f>
              <c:numCache>
                <c:formatCode>General</c:formatCode>
                <c:ptCount val="30"/>
                <c:pt idx="0">
                  <c:v>326.04447315000004</c:v>
                </c:pt>
                <c:pt idx="1">
                  <c:v>385.55388551999999</c:v>
                </c:pt>
                <c:pt idx="2">
                  <c:v>464.54966360999998</c:v>
                </c:pt>
                <c:pt idx="3">
                  <c:v>561.86989165</c:v>
                </c:pt>
                <c:pt idx="4">
                  <c:v>673.99964520000003</c:v>
                </c:pt>
                <c:pt idx="5">
                  <c:v>812.68558430999997</c:v>
                </c:pt>
                <c:pt idx="6">
                  <c:v>977.7122417249999</c:v>
                </c:pt>
                <c:pt idx="7">
                  <c:v>1171.9142240399999</c:v>
                </c:pt>
                <c:pt idx="8">
                  <c:v>1402.92192488</c:v>
                </c:pt>
                <c:pt idx="9">
                  <c:v>1685.2760088000002</c:v>
                </c:pt>
                <c:pt idx="10">
                  <c:v>2019.5054431200001</c:v>
                </c:pt>
                <c:pt idx="11">
                  <c:v>2422.66526428</c:v>
                </c:pt>
                <c:pt idx="12">
                  <c:v>2979.762163035</c:v>
                </c:pt>
                <c:pt idx="13">
                  <c:v>3582.3949740599996</c:v>
                </c:pt>
                <c:pt idx="14">
                  <c:v>4301.55855797</c:v>
                </c:pt>
                <c:pt idx="15">
                  <c:v>5047.3884109999999</c:v>
                </c:pt>
                <c:pt idx="16">
                  <c:v>6047.7544600499996</c:v>
                </c:pt>
                <c:pt idx="17">
                  <c:v>7255.2895750550006</c:v>
                </c:pt>
                <c:pt idx="18">
                  <c:v>8707.5402579900001</c:v>
                </c:pt>
                <c:pt idx="19">
                  <c:v>10447.969284339999</c:v>
                </c:pt>
                <c:pt idx="20">
                  <c:v>12541.006875005</c:v>
                </c:pt>
                <c:pt idx="21">
                  <c:v>15110.399601199999</c:v>
                </c:pt>
                <c:pt idx="22">
                  <c:v>18087.960614759999</c:v>
                </c:pt>
                <c:pt idx="23">
                  <c:v>21774.329039665001</c:v>
                </c:pt>
                <c:pt idx="24">
                  <c:v>26095.293977804999</c:v>
                </c:pt>
                <c:pt idx="25">
                  <c:v>31394.140786505002</c:v>
                </c:pt>
                <c:pt idx="26">
                  <c:v>43656.641664700001</c:v>
                </c:pt>
                <c:pt idx="27">
                  <c:v>52732.332055999999</c:v>
                </c:pt>
                <c:pt idx="28">
                  <c:v>54526.898922839995</c:v>
                </c:pt>
                <c:pt idx="29">
                  <c:v>65362.055032740005</c:v>
                </c:pt>
              </c:numCache>
            </c:numRef>
          </c:yVal>
          <c:smooth val="0"/>
        </c:ser>
        <c:ser>
          <c:idx val="1"/>
          <c:order val="2"/>
          <c:tx>
            <c:v>min-stretch + optimiz.</c:v>
          </c:tx>
          <c:spPr>
            <a:ln w="12690">
              <a:solidFill>
                <a:srgbClr val="FF0000"/>
              </a:solidFill>
              <a:prstDash val="solid"/>
            </a:ln>
          </c:spPr>
          <c:marker>
            <c:symbol val="none"/>
          </c:marker>
          <c:xVal>
            <c:numRef>
              <c:f>HorseStretch!$M$2:$M$31</c:f>
              <c:numCache>
                <c:formatCode>General</c:formatCode>
                <c:ptCount val="30"/>
                <c:pt idx="0">
                  <c:v>470</c:v>
                </c:pt>
                <c:pt idx="1">
                  <c:v>564</c:v>
                </c:pt>
                <c:pt idx="2">
                  <c:v>678</c:v>
                </c:pt>
                <c:pt idx="3">
                  <c:v>815</c:v>
                </c:pt>
                <c:pt idx="4">
                  <c:v>980</c:v>
                </c:pt>
                <c:pt idx="5">
                  <c:v>1178</c:v>
                </c:pt>
                <c:pt idx="6">
                  <c:v>1415</c:v>
                </c:pt>
                <c:pt idx="7">
                  <c:v>1701</c:v>
                </c:pt>
                <c:pt idx="8">
                  <c:v>2044</c:v>
                </c:pt>
                <c:pt idx="9">
                  <c:v>2456</c:v>
                </c:pt>
                <c:pt idx="10">
                  <c:v>2952</c:v>
                </c:pt>
                <c:pt idx="11">
                  <c:v>3548</c:v>
                </c:pt>
                <c:pt idx="12">
                  <c:v>4263</c:v>
                </c:pt>
                <c:pt idx="13">
                  <c:v>5124</c:v>
                </c:pt>
                <c:pt idx="14">
                  <c:v>6157</c:v>
                </c:pt>
                <c:pt idx="15">
                  <c:v>7400</c:v>
                </c:pt>
                <c:pt idx="16">
                  <c:v>8893</c:v>
                </c:pt>
                <c:pt idx="17">
                  <c:v>10687</c:v>
                </c:pt>
                <c:pt idx="18">
                  <c:v>12843</c:v>
                </c:pt>
                <c:pt idx="19">
                  <c:v>15434</c:v>
                </c:pt>
                <c:pt idx="20">
                  <c:v>18547</c:v>
                </c:pt>
                <c:pt idx="21">
                  <c:v>22289</c:v>
                </c:pt>
                <c:pt idx="22">
                  <c:v>26786</c:v>
                </c:pt>
                <c:pt idx="23">
                  <c:v>32189</c:v>
                </c:pt>
                <c:pt idx="24">
                  <c:v>38683</c:v>
                </c:pt>
                <c:pt idx="25">
                  <c:v>46487</c:v>
                </c:pt>
                <c:pt idx="26">
                  <c:v>55865</c:v>
                </c:pt>
                <c:pt idx="27">
                  <c:v>67136</c:v>
                </c:pt>
                <c:pt idx="28">
                  <c:v>80679</c:v>
                </c:pt>
                <c:pt idx="29">
                  <c:v>96956</c:v>
                </c:pt>
              </c:numCache>
            </c:numRef>
          </c:xVal>
          <c:yVal>
            <c:numRef>
              <c:f>HorseStretch!$O$2:$O$31</c:f>
              <c:numCache>
                <c:formatCode>General</c:formatCode>
                <c:ptCount val="30"/>
                <c:pt idx="0">
                  <c:v>326.04492669999996</c:v>
                </c:pt>
                <c:pt idx="1">
                  <c:v>385.58259312000001</c:v>
                </c:pt>
                <c:pt idx="2">
                  <c:v>464.50427829</c:v>
                </c:pt>
                <c:pt idx="3">
                  <c:v>562.06178747499996</c:v>
                </c:pt>
                <c:pt idx="4">
                  <c:v>673.94088439999996</c:v>
                </c:pt>
                <c:pt idx="5">
                  <c:v>812.69127993999996</c:v>
                </c:pt>
                <c:pt idx="6">
                  <c:v>977.72003837499994</c:v>
                </c:pt>
                <c:pt idx="7">
                  <c:v>1172.4119451450001</c:v>
                </c:pt>
                <c:pt idx="8">
                  <c:v>1403.69728562</c:v>
                </c:pt>
                <c:pt idx="9">
                  <c:v>1686.1150643599999</c:v>
                </c:pt>
                <c:pt idx="10">
                  <c:v>2021.8321209599999</c:v>
                </c:pt>
                <c:pt idx="11">
                  <c:v>2425.38430956</c:v>
                </c:pt>
                <c:pt idx="12">
                  <c:v>2937.8457252899998</c:v>
                </c:pt>
                <c:pt idx="13">
                  <c:v>3534.0876186</c:v>
                </c:pt>
                <c:pt idx="14">
                  <c:v>4243.3655801150007</c:v>
                </c:pt>
                <c:pt idx="15">
                  <c:v>5055.1265540000004</c:v>
                </c:pt>
                <c:pt idx="16">
                  <c:v>6059.0129980499996</c:v>
                </c:pt>
                <c:pt idx="17">
                  <c:v>7270.0252915699994</c:v>
                </c:pt>
                <c:pt idx="18">
                  <c:v>8726.345042805</c:v>
                </c:pt>
                <c:pt idx="19">
                  <c:v>10472.277834339999</c:v>
                </c:pt>
                <c:pt idx="20">
                  <c:v>12572.595012584999</c:v>
                </c:pt>
                <c:pt idx="21">
                  <c:v>15099.368106430002</c:v>
                </c:pt>
                <c:pt idx="22">
                  <c:v>18136.06103854</c:v>
                </c:pt>
                <c:pt idx="23">
                  <c:v>21783.447861475001</c:v>
                </c:pt>
                <c:pt idx="24">
                  <c:v>26171.177258414999</c:v>
                </c:pt>
                <c:pt idx="25">
                  <c:v>31447.611528514997</c:v>
                </c:pt>
                <c:pt idx="26">
                  <c:v>37787.381246525001</c:v>
                </c:pt>
                <c:pt idx="27">
                  <c:v>45409.524550720002</c:v>
                </c:pt>
                <c:pt idx="28">
                  <c:v>54570.975474119994</c:v>
                </c:pt>
                <c:pt idx="29">
                  <c:v>65582.67065426</c:v>
                </c:pt>
              </c:numCache>
            </c:numRef>
          </c:yVal>
          <c:smooth val="0"/>
        </c:ser>
        <c:dLbls>
          <c:showLegendKey val="0"/>
          <c:showVal val="0"/>
          <c:showCatName val="0"/>
          <c:showSerName val="0"/>
          <c:showPercent val="0"/>
          <c:showBubbleSize val="0"/>
        </c:dLbls>
        <c:axId val="168291328"/>
        <c:axId val="193050496"/>
      </c:scatterChart>
      <c:valAx>
        <c:axId val="168291328"/>
        <c:scaling>
          <c:logBase val="10"/>
          <c:orientation val="minMax"/>
          <c:min val="100"/>
        </c:scaling>
        <c:delete val="0"/>
        <c:axPos val="b"/>
        <c:title>
          <c:tx>
            <c:rich>
              <a:bodyPr/>
              <a:lstStyle/>
              <a:p>
                <a:pPr>
                  <a:defRPr sz="799" b="0" i="0" u="none" strike="noStrike" baseline="0">
                    <a:solidFill>
                      <a:srgbClr val="000000"/>
                    </a:solidFill>
                    <a:latin typeface="Arial"/>
                    <a:ea typeface="Arial"/>
                    <a:cs typeface="Arial"/>
                  </a:defRPr>
                </a:pPr>
                <a:r>
                  <a:rPr lang="en-US"/>
                  <a:t>number of faces</a:t>
                </a:r>
              </a:p>
            </c:rich>
          </c:tx>
          <c:layout>
            <c:manualLayout>
              <c:xMode val="edge"/>
              <c:yMode val="edge"/>
              <c:x val="0.4050632911392405"/>
              <c:y val="0.90454545454545454"/>
            </c:manualLayout>
          </c:layout>
          <c:overlay val="0"/>
          <c:spPr>
            <a:noFill/>
            <a:ln w="25380">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93050496"/>
        <c:crosses val="autoZero"/>
        <c:crossBetween val="midCat"/>
      </c:valAx>
      <c:valAx>
        <c:axId val="193050496"/>
        <c:scaling>
          <c:orientation val="minMax"/>
          <c:max val="80000"/>
        </c:scaling>
        <c:delete val="0"/>
        <c:axPos val="l"/>
        <c:majorGridlines>
          <c:spPr>
            <a:ln w="3172">
              <a:solidFill>
                <a:srgbClr val="C0C0C0"/>
              </a:solidFill>
              <a:prstDash val="solid"/>
            </a:ln>
          </c:spPr>
        </c:majorGridlines>
        <c:title>
          <c:tx>
            <c:rich>
              <a:bodyPr/>
              <a:lstStyle/>
              <a:p>
                <a:pPr>
                  <a:defRPr sz="799" b="0" i="0" u="none" strike="noStrike" baseline="0">
                    <a:solidFill>
                      <a:srgbClr val="000000"/>
                    </a:solidFill>
                    <a:latin typeface="Arial"/>
                    <a:ea typeface="Arial"/>
                    <a:cs typeface="Arial"/>
                  </a:defRPr>
                </a:pPr>
                <a:r>
                  <a:rPr lang="en-US"/>
                  <a:t>stretch error (*phi(i)/1000)</a:t>
                </a:r>
              </a:p>
            </c:rich>
          </c:tx>
          <c:layout>
            <c:manualLayout>
              <c:xMode val="edge"/>
              <c:yMode val="edge"/>
              <c:x val="3.1645569620253164E-3"/>
              <c:y val="0.18181818181818182"/>
            </c:manualLayout>
          </c:layout>
          <c:overlay val="0"/>
          <c:spPr>
            <a:noFill/>
            <a:ln w="25380">
              <a:noFill/>
            </a:ln>
          </c:spPr>
        </c:title>
        <c:numFmt formatCode="General" sourceLinked="0"/>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68291328"/>
        <c:crosses val="autoZero"/>
        <c:crossBetween val="midCat"/>
        <c:dispUnits>
          <c:builtInUnit val="thousands"/>
        </c:dispUnits>
      </c:valAx>
      <c:spPr>
        <a:noFill/>
        <a:ln w="12690">
          <a:solidFill>
            <a:srgbClr val="808080"/>
          </a:solidFill>
          <a:prstDash val="solid"/>
        </a:ln>
      </c:spPr>
    </c:plotArea>
    <c:legend>
      <c:legendPos val="r"/>
      <c:layout>
        <c:manualLayout>
          <c:xMode val="edge"/>
          <c:yMode val="edge"/>
          <c:x val="0.1550632911392405"/>
          <c:y val="0.1409090909090909"/>
          <c:w val="0.45886075949367089"/>
          <c:h val="0.29090909090909089"/>
        </c:manualLayout>
      </c:layout>
      <c:overlay val="0"/>
      <c:spPr>
        <a:solidFill>
          <a:srgbClr val="FFFFFF"/>
        </a:solidFill>
        <a:ln w="3172">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000000"/>
                </a:solidFill>
                <a:latin typeface="Arial"/>
                <a:ea typeface="Arial"/>
                <a:cs typeface="Arial"/>
              </a:defRPr>
            </a:pPr>
            <a:r>
              <a:rPr lang="en-US"/>
              <a:t>Horse PM: L^2 Deviation Error (weighted)</a:t>
            </a:r>
          </a:p>
        </c:rich>
      </c:tx>
      <c:layout>
        <c:manualLayout>
          <c:xMode val="edge"/>
          <c:yMode val="edge"/>
          <c:x val="0.18037974683544303"/>
          <c:y val="1.8264840182648401E-2"/>
        </c:manualLayout>
      </c:layout>
      <c:overlay val="0"/>
      <c:spPr>
        <a:noFill/>
        <a:ln w="25386">
          <a:noFill/>
        </a:ln>
      </c:spPr>
    </c:title>
    <c:autoTitleDeleted val="0"/>
    <c:plotArea>
      <c:layout>
        <c:manualLayout>
          <c:layoutTarget val="inner"/>
          <c:xMode val="edge"/>
          <c:yMode val="edge"/>
          <c:x val="0.1550632911392405"/>
          <c:y val="0.14611872146118721"/>
          <c:w val="0.78481012658227844"/>
          <c:h val="0.67579908675799083"/>
        </c:manualLayout>
      </c:layout>
      <c:scatterChart>
        <c:scatterStyle val="lineMarker"/>
        <c:varyColors val="0"/>
        <c:ser>
          <c:idx val="3"/>
          <c:order val="0"/>
          <c:tx>
            <c:v>uniform param.</c:v>
          </c:tx>
          <c:spPr>
            <a:ln w="12693">
              <a:solidFill>
                <a:srgbClr val="0000FF"/>
              </a:solidFill>
              <a:prstDash val="solid"/>
            </a:ln>
          </c:spPr>
          <c:marker>
            <c:symbol val="none"/>
          </c:marker>
          <c:xVal>
            <c:numRef>
              <c:f>HorseDeviation!$A$2:$A$31</c:f>
              <c:numCache>
                <c:formatCode>General</c:formatCode>
                <c:ptCount val="30"/>
                <c:pt idx="0">
                  <c:v>470</c:v>
                </c:pt>
                <c:pt idx="1">
                  <c:v>564</c:v>
                </c:pt>
                <c:pt idx="2">
                  <c:v>678</c:v>
                </c:pt>
                <c:pt idx="3">
                  <c:v>815</c:v>
                </c:pt>
                <c:pt idx="4">
                  <c:v>980</c:v>
                </c:pt>
                <c:pt idx="5">
                  <c:v>1178</c:v>
                </c:pt>
                <c:pt idx="6">
                  <c:v>1415</c:v>
                </c:pt>
                <c:pt idx="7">
                  <c:v>1701</c:v>
                </c:pt>
                <c:pt idx="8">
                  <c:v>2044</c:v>
                </c:pt>
                <c:pt idx="9">
                  <c:v>2456</c:v>
                </c:pt>
                <c:pt idx="10">
                  <c:v>2952</c:v>
                </c:pt>
                <c:pt idx="11">
                  <c:v>3548</c:v>
                </c:pt>
                <c:pt idx="12">
                  <c:v>4263</c:v>
                </c:pt>
                <c:pt idx="13">
                  <c:v>5124</c:v>
                </c:pt>
                <c:pt idx="14">
                  <c:v>6157</c:v>
                </c:pt>
                <c:pt idx="15">
                  <c:v>7400</c:v>
                </c:pt>
                <c:pt idx="16">
                  <c:v>8893</c:v>
                </c:pt>
                <c:pt idx="17">
                  <c:v>10687</c:v>
                </c:pt>
                <c:pt idx="18">
                  <c:v>12843</c:v>
                </c:pt>
                <c:pt idx="19">
                  <c:v>15434</c:v>
                </c:pt>
                <c:pt idx="20">
                  <c:v>18547</c:v>
                </c:pt>
                <c:pt idx="21">
                  <c:v>22289</c:v>
                </c:pt>
                <c:pt idx="22">
                  <c:v>26786</c:v>
                </c:pt>
                <c:pt idx="23">
                  <c:v>32189</c:v>
                </c:pt>
                <c:pt idx="24">
                  <c:v>38683</c:v>
                </c:pt>
                <c:pt idx="25">
                  <c:v>46487</c:v>
                </c:pt>
                <c:pt idx="26">
                  <c:v>55865</c:v>
                </c:pt>
                <c:pt idx="27">
                  <c:v>67136</c:v>
                </c:pt>
                <c:pt idx="28">
                  <c:v>80679</c:v>
                </c:pt>
                <c:pt idx="29">
                  <c:v>96956</c:v>
                </c:pt>
              </c:numCache>
            </c:numRef>
          </c:xVal>
          <c:yVal>
            <c:numRef>
              <c:f>HorseDeviation!$C$2:$C$31</c:f>
              <c:numCache>
                <c:formatCode>General</c:formatCode>
                <c:ptCount val="30"/>
                <c:pt idx="0">
                  <c:v>2.1625146500000003</c:v>
                </c:pt>
                <c:pt idx="1">
                  <c:v>2.1080684399999998</c:v>
                </c:pt>
                <c:pt idx="2">
                  <c:v>2.2513769699999999</c:v>
                </c:pt>
                <c:pt idx="3">
                  <c:v>2.3605415500000002</c:v>
                </c:pt>
                <c:pt idx="4">
                  <c:v>2.4775282000000001</c:v>
                </c:pt>
                <c:pt idx="5">
                  <c:v>2.6153955999999998</c:v>
                </c:pt>
                <c:pt idx="6">
                  <c:v>2.7797675000000002</c:v>
                </c:pt>
                <c:pt idx="7">
                  <c:v>2.8819447650000001</c:v>
                </c:pt>
                <c:pt idx="8">
                  <c:v>3.0902111799999998</c:v>
                </c:pt>
                <c:pt idx="9">
                  <c:v>3.3278063200000001</c:v>
                </c:pt>
                <c:pt idx="10">
                  <c:v>3.5858534400000002</c:v>
                </c:pt>
                <c:pt idx="11">
                  <c:v>3.8036333999999998</c:v>
                </c:pt>
                <c:pt idx="12">
                  <c:v>4.1451280500000003</c:v>
                </c:pt>
                <c:pt idx="13">
                  <c:v>4.48652316</c:v>
                </c:pt>
                <c:pt idx="14">
                  <c:v>4.8343224750000005</c:v>
                </c:pt>
                <c:pt idx="15">
                  <c:v>5.2703170000000004</c:v>
                </c:pt>
                <c:pt idx="16">
                  <c:v>5.6947214800000001</c:v>
                </c:pt>
                <c:pt idx="17">
                  <c:v>6.1154220099999996</c:v>
                </c:pt>
                <c:pt idx="18">
                  <c:v>6.5437653599999992</c:v>
                </c:pt>
                <c:pt idx="19">
                  <c:v>7.0611321699999996</c:v>
                </c:pt>
                <c:pt idx="20">
                  <c:v>7.4426328949999991</c:v>
                </c:pt>
                <c:pt idx="21">
                  <c:v>7.8657881000000005</c:v>
                </c:pt>
                <c:pt idx="22">
                  <c:v>8.1517833799999995</c:v>
                </c:pt>
                <c:pt idx="23">
                  <c:v>8.3907066300000004</c:v>
                </c:pt>
                <c:pt idx="24">
                  <c:v>8.4315400950000008</c:v>
                </c:pt>
                <c:pt idx="25">
                  <c:v>7.9690339750000003</c:v>
                </c:pt>
                <c:pt idx="26">
                  <c:v>7.3121698499999992</c:v>
                </c:pt>
                <c:pt idx="27">
                  <c:v>5.7199871999999994</c:v>
                </c:pt>
                <c:pt idx="28">
                  <c:v>3.258221415</c:v>
                </c:pt>
                <c:pt idx="29">
                  <c:v>0</c:v>
                </c:pt>
              </c:numCache>
            </c:numRef>
          </c:yVal>
          <c:smooth val="0"/>
        </c:ser>
        <c:ser>
          <c:idx val="0"/>
          <c:order val="1"/>
          <c:tx>
            <c:v>min-stretch param.</c:v>
          </c:tx>
          <c:spPr>
            <a:ln w="12693">
              <a:solidFill>
                <a:srgbClr val="339966"/>
              </a:solidFill>
              <a:prstDash val="solid"/>
            </a:ln>
          </c:spPr>
          <c:marker>
            <c:symbol val="none"/>
          </c:marker>
          <c:xVal>
            <c:numRef>
              <c:f>HorseDeviation!$D$2:$D$31</c:f>
              <c:numCache>
                <c:formatCode>General</c:formatCode>
                <c:ptCount val="30"/>
                <c:pt idx="0">
                  <c:v>470</c:v>
                </c:pt>
                <c:pt idx="1">
                  <c:v>564</c:v>
                </c:pt>
                <c:pt idx="2">
                  <c:v>678</c:v>
                </c:pt>
                <c:pt idx="3">
                  <c:v>815</c:v>
                </c:pt>
                <c:pt idx="4">
                  <c:v>980</c:v>
                </c:pt>
                <c:pt idx="5">
                  <c:v>1178</c:v>
                </c:pt>
                <c:pt idx="6">
                  <c:v>1415</c:v>
                </c:pt>
                <c:pt idx="7">
                  <c:v>1701</c:v>
                </c:pt>
                <c:pt idx="8">
                  <c:v>2044</c:v>
                </c:pt>
                <c:pt idx="9">
                  <c:v>2456</c:v>
                </c:pt>
                <c:pt idx="10">
                  <c:v>2952</c:v>
                </c:pt>
                <c:pt idx="11">
                  <c:v>3548</c:v>
                </c:pt>
                <c:pt idx="12">
                  <c:v>4263</c:v>
                </c:pt>
                <c:pt idx="13">
                  <c:v>5124</c:v>
                </c:pt>
                <c:pt idx="14">
                  <c:v>6157</c:v>
                </c:pt>
                <c:pt idx="15">
                  <c:v>7400</c:v>
                </c:pt>
                <c:pt idx="16">
                  <c:v>8893</c:v>
                </c:pt>
                <c:pt idx="17">
                  <c:v>10687</c:v>
                </c:pt>
                <c:pt idx="18">
                  <c:v>12843</c:v>
                </c:pt>
                <c:pt idx="19">
                  <c:v>15434</c:v>
                </c:pt>
                <c:pt idx="20">
                  <c:v>18547</c:v>
                </c:pt>
                <c:pt idx="21">
                  <c:v>22289</c:v>
                </c:pt>
                <c:pt idx="22">
                  <c:v>26786</c:v>
                </c:pt>
                <c:pt idx="23">
                  <c:v>32189</c:v>
                </c:pt>
                <c:pt idx="24">
                  <c:v>38683</c:v>
                </c:pt>
                <c:pt idx="25">
                  <c:v>46487</c:v>
                </c:pt>
                <c:pt idx="26">
                  <c:v>55865</c:v>
                </c:pt>
                <c:pt idx="27">
                  <c:v>67136</c:v>
                </c:pt>
                <c:pt idx="28">
                  <c:v>80679</c:v>
                </c:pt>
                <c:pt idx="29">
                  <c:v>96956</c:v>
                </c:pt>
              </c:numCache>
            </c:numRef>
          </c:xVal>
          <c:yVal>
            <c:numRef>
              <c:f>HorseDeviation!$F$2:$F$31</c:f>
              <c:numCache>
                <c:formatCode>General</c:formatCode>
                <c:ptCount val="30"/>
                <c:pt idx="0">
                  <c:v>2.1277604999999999</c:v>
                </c:pt>
                <c:pt idx="1">
                  <c:v>1.99920516</c:v>
                </c:pt>
                <c:pt idx="2">
                  <c:v>2.1501786899999997</c:v>
                </c:pt>
                <c:pt idx="3">
                  <c:v>2.2102718500000003</c:v>
                </c:pt>
                <c:pt idx="4">
                  <c:v>2.1913681999999999</c:v>
                </c:pt>
                <c:pt idx="5">
                  <c:v>2.2743351499999998</c:v>
                </c:pt>
                <c:pt idx="6">
                  <c:v>2.3464308250000001</c:v>
                </c:pt>
                <c:pt idx="7">
                  <c:v>2.4692821650000001</c:v>
                </c:pt>
                <c:pt idx="8">
                  <c:v>2.6019608999999999</c:v>
                </c:pt>
                <c:pt idx="9">
                  <c:v>2.72196024</c:v>
                </c:pt>
                <c:pt idx="10">
                  <c:v>2.8504364399999997</c:v>
                </c:pt>
                <c:pt idx="11">
                  <c:v>2.9236939199999998</c:v>
                </c:pt>
                <c:pt idx="12">
                  <c:v>3.0623899950000002</c:v>
                </c:pt>
                <c:pt idx="13">
                  <c:v>3.2114670000000003</c:v>
                </c:pt>
                <c:pt idx="14">
                  <c:v>3.2913474900000002</c:v>
                </c:pt>
                <c:pt idx="15">
                  <c:v>3.416839</c:v>
                </c:pt>
                <c:pt idx="16">
                  <c:v>3.4899244550000001</c:v>
                </c:pt>
                <c:pt idx="17">
                  <c:v>3.454626185</c:v>
                </c:pt>
                <c:pt idx="18">
                  <c:v>3.4442357400000003</c:v>
                </c:pt>
                <c:pt idx="19">
                  <c:v>3.4240328999999998</c:v>
                </c:pt>
                <c:pt idx="20">
                  <c:v>3.418861245</c:v>
                </c:pt>
                <c:pt idx="21">
                  <c:v>3.35360294</c:v>
                </c:pt>
                <c:pt idx="22">
                  <c:v>3.2799456999999999</c:v>
                </c:pt>
                <c:pt idx="23">
                  <c:v>3.1440605750000001</c:v>
                </c:pt>
                <c:pt idx="24">
                  <c:v>2.9439697150000002</c:v>
                </c:pt>
                <c:pt idx="25">
                  <c:v>2.750403355</c:v>
                </c:pt>
                <c:pt idx="26">
                  <c:v>2.4474456500000001</c:v>
                </c:pt>
                <c:pt idx="27">
                  <c:v>2.0463052799999999</c:v>
                </c:pt>
                <c:pt idx="28">
                  <c:v>1.3586343600000002</c:v>
                </c:pt>
                <c:pt idx="29">
                  <c:v>0</c:v>
                </c:pt>
              </c:numCache>
            </c:numRef>
          </c:yVal>
          <c:smooth val="0"/>
        </c:ser>
        <c:ser>
          <c:idx val="1"/>
          <c:order val="2"/>
          <c:tx>
            <c:v>min-stretch + optimiz.</c:v>
          </c:tx>
          <c:spPr>
            <a:ln w="12693">
              <a:solidFill>
                <a:srgbClr val="FF0000"/>
              </a:solidFill>
              <a:prstDash val="solid"/>
            </a:ln>
          </c:spPr>
          <c:marker>
            <c:symbol val="none"/>
          </c:marker>
          <c:xVal>
            <c:numRef>
              <c:f>HorseDeviation!$M$2:$M$31</c:f>
              <c:numCache>
                <c:formatCode>General</c:formatCode>
                <c:ptCount val="30"/>
                <c:pt idx="0">
                  <c:v>470</c:v>
                </c:pt>
                <c:pt idx="1">
                  <c:v>564</c:v>
                </c:pt>
                <c:pt idx="2">
                  <c:v>678</c:v>
                </c:pt>
                <c:pt idx="3">
                  <c:v>815</c:v>
                </c:pt>
                <c:pt idx="4">
                  <c:v>980</c:v>
                </c:pt>
                <c:pt idx="5">
                  <c:v>1178</c:v>
                </c:pt>
                <c:pt idx="6">
                  <c:v>1415</c:v>
                </c:pt>
                <c:pt idx="7">
                  <c:v>1701</c:v>
                </c:pt>
                <c:pt idx="8">
                  <c:v>2044</c:v>
                </c:pt>
                <c:pt idx="9">
                  <c:v>2456</c:v>
                </c:pt>
                <c:pt idx="10">
                  <c:v>2952</c:v>
                </c:pt>
                <c:pt idx="11">
                  <c:v>3548</c:v>
                </c:pt>
                <c:pt idx="12">
                  <c:v>4263</c:v>
                </c:pt>
                <c:pt idx="13">
                  <c:v>5124</c:v>
                </c:pt>
                <c:pt idx="14">
                  <c:v>6157</c:v>
                </c:pt>
                <c:pt idx="15">
                  <c:v>7400</c:v>
                </c:pt>
                <c:pt idx="16">
                  <c:v>8893</c:v>
                </c:pt>
                <c:pt idx="17">
                  <c:v>10687</c:v>
                </c:pt>
                <c:pt idx="18">
                  <c:v>12843</c:v>
                </c:pt>
                <c:pt idx="19">
                  <c:v>15434</c:v>
                </c:pt>
                <c:pt idx="20">
                  <c:v>18547</c:v>
                </c:pt>
                <c:pt idx="21">
                  <c:v>22289</c:v>
                </c:pt>
                <c:pt idx="22">
                  <c:v>26786</c:v>
                </c:pt>
                <c:pt idx="23">
                  <c:v>32189</c:v>
                </c:pt>
                <c:pt idx="24">
                  <c:v>38683</c:v>
                </c:pt>
                <c:pt idx="25">
                  <c:v>46487</c:v>
                </c:pt>
                <c:pt idx="26">
                  <c:v>55865</c:v>
                </c:pt>
                <c:pt idx="27">
                  <c:v>67136</c:v>
                </c:pt>
                <c:pt idx="28">
                  <c:v>80679</c:v>
                </c:pt>
                <c:pt idx="29">
                  <c:v>96956</c:v>
                </c:pt>
              </c:numCache>
            </c:numRef>
          </c:xVal>
          <c:yVal>
            <c:numRef>
              <c:f>HorseDeviation!$O$2:$O$31</c:f>
              <c:numCache>
                <c:formatCode>General</c:formatCode>
                <c:ptCount val="30"/>
                <c:pt idx="0">
                  <c:v>2.1263175999999997</c:v>
                </c:pt>
                <c:pt idx="1">
                  <c:v>1.9978459200000001</c:v>
                </c:pt>
                <c:pt idx="2">
                  <c:v>2.1491176200000002</c:v>
                </c:pt>
                <c:pt idx="3">
                  <c:v>2.2089963749999999</c:v>
                </c:pt>
                <c:pt idx="4">
                  <c:v>2.1894376000000002</c:v>
                </c:pt>
                <c:pt idx="5">
                  <c:v>2.2726800599999999</c:v>
                </c:pt>
                <c:pt idx="6">
                  <c:v>2.3430065249999998</c:v>
                </c:pt>
                <c:pt idx="7">
                  <c:v>2.4638474700000002</c:v>
                </c:pt>
                <c:pt idx="8">
                  <c:v>2.5942550199999999</c:v>
                </c:pt>
                <c:pt idx="9">
                  <c:v>2.71169416</c:v>
                </c:pt>
                <c:pt idx="10">
                  <c:v>2.8323997200000002</c:v>
                </c:pt>
                <c:pt idx="11">
                  <c:v>2.8994078600000002</c:v>
                </c:pt>
                <c:pt idx="12">
                  <c:v>3.03504285</c:v>
                </c:pt>
                <c:pt idx="13">
                  <c:v>3.16857912</c:v>
                </c:pt>
                <c:pt idx="14">
                  <c:v>3.2359037049999997</c:v>
                </c:pt>
                <c:pt idx="15">
                  <c:v>3.3433570000000001</c:v>
                </c:pt>
                <c:pt idx="16">
                  <c:v>3.3945914949999998</c:v>
                </c:pt>
                <c:pt idx="17">
                  <c:v>3.3294814150000001</c:v>
                </c:pt>
                <c:pt idx="18">
                  <c:v>3.2812580699999998</c:v>
                </c:pt>
                <c:pt idx="19">
                  <c:v>3.2284841200000001</c:v>
                </c:pt>
                <c:pt idx="20">
                  <c:v>3.1847053700000001</c:v>
                </c:pt>
                <c:pt idx="21">
                  <c:v>3.0784452349999998</c:v>
                </c:pt>
                <c:pt idx="22">
                  <c:v>2.9658798499999999</c:v>
                </c:pt>
                <c:pt idx="23">
                  <c:v>2.7999601649999999</c:v>
                </c:pt>
                <c:pt idx="24">
                  <c:v>2.5625553349999999</c:v>
                </c:pt>
                <c:pt idx="25">
                  <c:v>2.3410853199999999</c:v>
                </c:pt>
                <c:pt idx="26">
                  <c:v>2.0278995000000002</c:v>
                </c:pt>
                <c:pt idx="27">
                  <c:v>1.6723577599999999</c:v>
                </c:pt>
                <c:pt idx="28">
                  <c:v>1.1133702000000001</c:v>
                </c:pt>
                <c:pt idx="29">
                  <c:v>0</c:v>
                </c:pt>
              </c:numCache>
            </c:numRef>
          </c:yVal>
          <c:smooth val="0"/>
        </c:ser>
        <c:dLbls>
          <c:showLegendKey val="0"/>
          <c:showVal val="0"/>
          <c:showCatName val="0"/>
          <c:showSerName val="0"/>
          <c:showPercent val="0"/>
          <c:showBubbleSize val="0"/>
        </c:dLbls>
        <c:axId val="167060608"/>
        <c:axId val="167062528"/>
      </c:scatterChart>
      <c:valAx>
        <c:axId val="167060608"/>
        <c:scaling>
          <c:logBase val="10"/>
          <c:orientation val="minMax"/>
          <c:min val="100"/>
        </c:scaling>
        <c:delete val="0"/>
        <c:axPos val="b"/>
        <c:title>
          <c:tx>
            <c:rich>
              <a:bodyPr/>
              <a:lstStyle/>
              <a:p>
                <a:pPr>
                  <a:defRPr sz="800" b="0" i="0" u="none" strike="noStrike" baseline="0">
                    <a:solidFill>
                      <a:srgbClr val="000000"/>
                    </a:solidFill>
                    <a:latin typeface="Arial"/>
                    <a:ea typeface="Arial"/>
                    <a:cs typeface="Arial"/>
                  </a:defRPr>
                </a:pPr>
                <a:r>
                  <a:rPr lang="en-US"/>
                  <a:t>number of faces</a:t>
                </a:r>
              </a:p>
            </c:rich>
          </c:tx>
          <c:layout>
            <c:manualLayout>
              <c:xMode val="edge"/>
              <c:yMode val="edge"/>
              <c:x val="0.41139240506329117"/>
              <c:y val="0.90410958904109584"/>
            </c:manualLayout>
          </c:layout>
          <c:overlay val="0"/>
          <c:spPr>
            <a:noFill/>
            <a:ln w="25386">
              <a:noFill/>
            </a:ln>
          </c:spPr>
        </c:title>
        <c:numFmt formatCode="General" sourceLinked="1"/>
        <c:majorTickMark val="out"/>
        <c:minorTickMark val="none"/>
        <c:tickLblPos val="nextTo"/>
        <c:spPr>
          <a:ln w="3173">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7062528"/>
        <c:crosses val="autoZero"/>
        <c:crossBetween val="midCat"/>
      </c:valAx>
      <c:valAx>
        <c:axId val="167062528"/>
        <c:scaling>
          <c:orientation val="minMax"/>
        </c:scaling>
        <c:delete val="0"/>
        <c:axPos val="l"/>
        <c:majorGridlines>
          <c:spPr>
            <a:ln w="3173">
              <a:solidFill>
                <a:srgbClr val="C0C0C0"/>
              </a:solidFill>
              <a:prstDash val="solid"/>
            </a:ln>
          </c:spPr>
        </c:majorGridlines>
        <c:title>
          <c:tx>
            <c:rich>
              <a:bodyPr/>
              <a:lstStyle/>
              <a:p>
                <a:pPr>
                  <a:defRPr sz="800" b="0" i="0" u="none" strike="noStrike" baseline="0">
                    <a:solidFill>
                      <a:srgbClr val="000000"/>
                    </a:solidFill>
                    <a:latin typeface="Arial"/>
                    <a:ea typeface="Arial"/>
                    <a:cs typeface="Arial"/>
                  </a:defRPr>
                </a:pPr>
                <a:r>
                  <a:rPr lang="en-US"/>
                  <a:t>deviation error (*phi(i))</a:t>
                </a:r>
              </a:p>
            </c:rich>
          </c:tx>
          <c:layout>
            <c:manualLayout>
              <c:xMode val="edge"/>
              <c:yMode val="edge"/>
              <c:x val="2.2151898734177215E-2"/>
              <c:y val="0.22374429223744291"/>
            </c:manualLayout>
          </c:layout>
          <c:overlay val="0"/>
          <c:spPr>
            <a:noFill/>
            <a:ln w="25386">
              <a:noFill/>
            </a:ln>
          </c:spPr>
        </c:title>
        <c:numFmt formatCode="General" sourceLinked="1"/>
        <c:majorTickMark val="out"/>
        <c:minorTickMark val="none"/>
        <c:tickLblPos val="nextTo"/>
        <c:spPr>
          <a:ln w="3173">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7060608"/>
        <c:crosses val="autoZero"/>
        <c:crossBetween val="midCat"/>
      </c:valAx>
      <c:spPr>
        <a:noFill/>
        <a:ln w="12693">
          <a:solidFill>
            <a:srgbClr val="808080"/>
          </a:solidFill>
          <a:prstDash val="solid"/>
        </a:ln>
      </c:spPr>
    </c:plotArea>
    <c:legend>
      <c:legendPos val="r"/>
      <c:layout>
        <c:manualLayout>
          <c:xMode val="edge"/>
          <c:yMode val="edge"/>
          <c:x val="0.16772151898734178"/>
          <c:y val="0.14155251141552511"/>
          <c:w val="0.45253164556962028"/>
          <c:h val="0.30136986301369861"/>
        </c:manualLayout>
      </c:layout>
      <c:overlay val="0"/>
      <c:spPr>
        <a:solidFill>
          <a:srgbClr val="FFFFFF"/>
        </a:solidFill>
        <a:ln w="3173">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3">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8</Pages>
  <Words>6656</Words>
  <Characters>37610</Characters>
  <Application>Microsoft Office Word</Application>
  <DocSecurity>0</DocSecurity>
  <Lines>1044</Lines>
  <Paragraphs>429</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Texture Mapping Progressive Meshes</vt:lpstr>
      <vt:lpstr>Introduction</vt:lpstr>
      <vt:lpstr>Previous work</vt:lpstr>
      <vt:lpstr>Texture stretch metric</vt:lpstr>
      <vt:lpstr>Our PM parametrization scheme</vt:lpstr>
      <vt:lpstr>    Partition mesh into charts</vt:lpstr>
      <vt:lpstr>    Form initial chart parametrizations</vt:lpstr>
      <vt:lpstr>    Resize chart polygons</vt:lpstr>
      <vt:lpstr>    Simplify mesh</vt:lpstr>
      <vt:lpstr>    Optimize chart parametrizations</vt:lpstr>
      <vt:lpstr>    Pack chart polygons</vt:lpstr>
      <vt:lpstr>    Sample texture images</vt:lpstr>
      <vt:lpstr>Results</vt:lpstr>
      <vt:lpstr>Summary and future work</vt:lpstr>
      <vt:lpstr>Acknowledgments</vt:lpstr>
      <vt:lpstr>References</vt:lpstr>
    </vt:vector>
  </TitlesOfParts>
  <Company>Microsoft Corporation</Company>
  <LinksUpToDate>false</LinksUpToDate>
  <CharactersWithSpaces>43837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Texture Mapping Progressive Meshes</dc:title>
  <dc:subject>ACM SIGGRAPH 2001</dc:subject>
  <dc:creator>Pedro Sander, John Snyder, Steven Gortler, Hugues Hoppe</dc:creator>
  <cp:lastModifiedBy>Hugues Hoppe</cp:lastModifiedBy>
  <cp:revision>21</cp:revision>
  <cp:lastPrinted>2013-03-05T22:44:00Z</cp:lastPrinted>
  <dcterms:created xsi:type="dcterms:W3CDTF">2013-02-28T01:53:00Z</dcterms:created>
  <dcterms:modified xsi:type="dcterms:W3CDTF">2013-03-28T00:50:00Z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
    <vt:lpwstr>(1.1)</vt:lpwstr>
  </property>
</Properties>
</file>